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0AC" w:rsidRDefault="00AA50AC">
      <w:pPr>
        <w:rPr>
          <w:b/>
          <w:u w:val="single"/>
        </w:rPr>
      </w:pPr>
      <w:r>
        <w:rPr>
          <w:b/>
          <w:noProof/>
          <w:u w:val="single"/>
        </w:rPr>
        <w:drawing>
          <wp:inline distT="0" distB="0" distL="0" distR="0">
            <wp:extent cx="1276350" cy="8066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RTDB_PNG_GIYDEMRQGUYDMMJXGMZTANBZGM2FGUCTINBV52DPM4XV5MRYGB3DCNJYFZYG3ZY=_GA==_GE==_2000000000.PNG"/>
                    <pic:cNvPicPr/>
                  </pic:nvPicPr>
                  <pic:blipFill>
                    <a:blip r:embed="rId7">
                      <a:extLst>
                        <a:ext uri="{28A0092B-C50C-407E-A947-70E740481C1C}">
                          <a14:useLocalDpi xmlns:a14="http://schemas.microsoft.com/office/drawing/2010/main" val="0"/>
                        </a:ext>
                      </a:extLst>
                    </a:blip>
                    <a:stretch>
                      <a:fillRect/>
                    </a:stretch>
                  </pic:blipFill>
                  <pic:spPr>
                    <a:xfrm>
                      <a:off x="0" y="0"/>
                      <a:ext cx="1317949" cy="832944"/>
                    </a:xfrm>
                    <a:prstGeom prst="rect">
                      <a:avLst/>
                    </a:prstGeom>
                  </pic:spPr>
                </pic:pic>
              </a:graphicData>
            </a:graphic>
          </wp:inline>
        </w:drawing>
      </w:r>
    </w:p>
    <w:p w:rsidR="009B762D" w:rsidRPr="00A128A1" w:rsidRDefault="00A128A1">
      <w:pPr>
        <w:rPr>
          <w:b/>
          <w:u w:val="single"/>
        </w:rPr>
      </w:pPr>
      <w:r w:rsidRPr="00A128A1">
        <w:rPr>
          <w:b/>
          <w:u w:val="single"/>
        </w:rPr>
        <w:t>When to use a Procurement Card (PCard)</w:t>
      </w:r>
    </w:p>
    <w:p w:rsidR="00A128A1" w:rsidRDefault="00A128A1" w:rsidP="00A128A1">
      <w:r>
        <w:t>The P</w:t>
      </w:r>
      <w:r w:rsidR="00CC0830">
        <w:t>rocurement</w:t>
      </w:r>
      <w:r>
        <w:t xml:space="preserve"> Card (PCard) is a Visa Card through JP Morgan and is administered by the Purchasing Office. PCards offer college </w:t>
      </w:r>
      <w:r w:rsidR="007172A4">
        <w:t>s</w:t>
      </w:r>
      <w:r>
        <w:t xml:space="preserve">taff the opportunity to streamline their procedures for procuring and paying for goods and services for official college business. The PCard program delegates authority and capability of purchasing items directly. Detailed receipts are required for all PCard purchases. </w:t>
      </w:r>
    </w:p>
    <w:tbl>
      <w:tblPr>
        <w:tblStyle w:val="TableGrid"/>
        <w:tblW w:w="0" w:type="auto"/>
        <w:tblLook w:val="04A0" w:firstRow="1" w:lastRow="0" w:firstColumn="1" w:lastColumn="0" w:noHBand="0" w:noVBand="1"/>
      </w:tblPr>
      <w:tblGrid>
        <w:gridCol w:w="4675"/>
        <w:gridCol w:w="4675"/>
      </w:tblGrid>
      <w:tr w:rsidR="00A128A1" w:rsidTr="00A128A1">
        <w:tc>
          <w:tcPr>
            <w:tcW w:w="4675" w:type="dxa"/>
          </w:tcPr>
          <w:p w:rsidR="00A128A1" w:rsidRPr="00A128A1" w:rsidRDefault="00A128A1">
            <w:pPr>
              <w:rPr>
                <w:b/>
              </w:rPr>
            </w:pPr>
            <w:r w:rsidRPr="00A128A1">
              <w:rPr>
                <w:b/>
              </w:rPr>
              <w:t>AUTHORIZED USE:</w:t>
            </w:r>
          </w:p>
        </w:tc>
        <w:tc>
          <w:tcPr>
            <w:tcW w:w="4675" w:type="dxa"/>
          </w:tcPr>
          <w:p w:rsidR="00A128A1" w:rsidRPr="00A128A1" w:rsidRDefault="00A128A1">
            <w:pPr>
              <w:rPr>
                <w:b/>
              </w:rPr>
            </w:pPr>
            <w:r w:rsidRPr="00A128A1">
              <w:rPr>
                <w:b/>
              </w:rPr>
              <w:t>PROHIBITED USE:</w:t>
            </w:r>
          </w:p>
        </w:tc>
      </w:tr>
      <w:tr w:rsidR="00A128A1" w:rsidTr="00A128A1">
        <w:tc>
          <w:tcPr>
            <w:tcW w:w="4675" w:type="dxa"/>
          </w:tcPr>
          <w:p w:rsidR="00A128A1" w:rsidRDefault="00A128A1" w:rsidP="00A128A1">
            <w:pPr>
              <w:pStyle w:val="ListParagraph"/>
              <w:numPr>
                <w:ilvl w:val="0"/>
                <w:numId w:val="1"/>
              </w:numPr>
              <w:ind w:left="150" w:hanging="180"/>
            </w:pPr>
            <w:r>
              <w:t>Between State Agencies if accepted</w:t>
            </w:r>
          </w:p>
        </w:tc>
        <w:tc>
          <w:tcPr>
            <w:tcW w:w="4675" w:type="dxa"/>
          </w:tcPr>
          <w:p w:rsidR="00A128A1" w:rsidRDefault="00A128A1" w:rsidP="00A128A1">
            <w:pPr>
              <w:pStyle w:val="ListParagraph"/>
              <w:numPr>
                <w:ilvl w:val="0"/>
                <w:numId w:val="1"/>
              </w:numPr>
              <w:ind w:left="166" w:hanging="196"/>
            </w:pPr>
            <w:r>
              <w:t>Alcoholic beverages or alcohol permits</w:t>
            </w:r>
          </w:p>
        </w:tc>
      </w:tr>
      <w:tr w:rsidR="00A128A1" w:rsidTr="00C051AB">
        <w:trPr>
          <w:trHeight w:val="1358"/>
        </w:trPr>
        <w:tc>
          <w:tcPr>
            <w:tcW w:w="4675" w:type="dxa"/>
          </w:tcPr>
          <w:p w:rsidR="00A128A1" w:rsidRDefault="00A128A1" w:rsidP="00A128A1">
            <w:pPr>
              <w:pStyle w:val="ListParagraph"/>
              <w:numPr>
                <w:ilvl w:val="0"/>
                <w:numId w:val="1"/>
              </w:numPr>
              <w:ind w:left="150" w:hanging="180"/>
            </w:pPr>
            <w:r>
              <w:t>Food and/or Beverage – Cardholders can purchase food for meals with meetings, light refreshments and student related events. Stay within per diem rates for all meals.</w:t>
            </w:r>
          </w:p>
          <w:p w:rsidR="00A128A1" w:rsidRDefault="00A128A1" w:rsidP="001879E0"/>
        </w:tc>
        <w:tc>
          <w:tcPr>
            <w:tcW w:w="4675" w:type="dxa"/>
          </w:tcPr>
          <w:p w:rsidR="00A128A1" w:rsidRDefault="00CE1D19" w:rsidP="00A128A1">
            <w:pPr>
              <w:pStyle w:val="ListParagraph"/>
              <w:numPr>
                <w:ilvl w:val="0"/>
                <w:numId w:val="1"/>
              </w:numPr>
              <w:ind w:left="166" w:hanging="196"/>
            </w:pPr>
            <w:r>
              <w:t>Cash Advances</w:t>
            </w:r>
          </w:p>
        </w:tc>
      </w:tr>
      <w:tr w:rsidR="00A128A1" w:rsidTr="00A128A1">
        <w:tc>
          <w:tcPr>
            <w:tcW w:w="4675" w:type="dxa"/>
          </w:tcPr>
          <w:p w:rsidR="00A128A1" w:rsidRDefault="00A128A1" w:rsidP="00A128A1">
            <w:pPr>
              <w:pStyle w:val="ListParagraph"/>
              <w:numPr>
                <w:ilvl w:val="0"/>
                <w:numId w:val="1"/>
              </w:numPr>
              <w:ind w:left="150" w:hanging="180"/>
            </w:pPr>
            <w:r>
              <w:t>Membership Dues</w:t>
            </w:r>
          </w:p>
        </w:tc>
        <w:tc>
          <w:tcPr>
            <w:tcW w:w="4675" w:type="dxa"/>
          </w:tcPr>
          <w:p w:rsidR="00A128A1" w:rsidRDefault="00CC0830" w:rsidP="00A128A1">
            <w:pPr>
              <w:pStyle w:val="ListParagraph"/>
              <w:numPr>
                <w:ilvl w:val="0"/>
                <w:numId w:val="1"/>
              </w:numPr>
              <w:ind w:left="166" w:hanging="196"/>
            </w:pPr>
            <w:r>
              <w:t xml:space="preserve">IT </w:t>
            </w:r>
            <w:r w:rsidR="00CE1D19">
              <w:t>Equipment</w:t>
            </w:r>
            <w:r>
              <w:t xml:space="preserve"> (Hardware) &amp; Software</w:t>
            </w:r>
            <w:r w:rsidR="00CE1D19">
              <w:t xml:space="preserve"> – Exception is granted to IT Staff</w:t>
            </w:r>
          </w:p>
        </w:tc>
      </w:tr>
      <w:tr w:rsidR="00A128A1" w:rsidTr="00A128A1">
        <w:tc>
          <w:tcPr>
            <w:tcW w:w="4675" w:type="dxa"/>
          </w:tcPr>
          <w:p w:rsidR="00A128A1" w:rsidRDefault="00A128A1" w:rsidP="00A128A1">
            <w:pPr>
              <w:pStyle w:val="ListParagraph"/>
              <w:numPr>
                <w:ilvl w:val="0"/>
                <w:numId w:val="1"/>
              </w:numPr>
              <w:ind w:left="150" w:hanging="180"/>
            </w:pPr>
            <w:r>
              <w:t>Registration Fees</w:t>
            </w:r>
          </w:p>
        </w:tc>
        <w:tc>
          <w:tcPr>
            <w:tcW w:w="4675" w:type="dxa"/>
          </w:tcPr>
          <w:p w:rsidR="00A128A1" w:rsidRDefault="00CE1D19" w:rsidP="00A128A1">
            <w:pPr>
              <w:pStyle w:val="ListParagraph"/>
              <w:numPr>
                <w:ilvl w:val="0"/>
                <w:numId w:val="1"/>
              </w:numPr>
              <w:ind w:left="166" w:hanging="196"/>
            </w:pPr>
            <w:r>
              <w:t xml:space="preserve">Equipment – </w:t>
            </w:r>
            <w:r w:rsidR="00CB5E3A">
              <w:t>non-IT</w:t>
            </w:r>
            <w:r>
              <w:t xml:space="preserve"> product, for example: mowers, audio/visual products, lab equipment,</w:t>
            </w:r>
            <w:r w:rsidR="001879E0">
              <w:t xml:space="preserve"> tools</w:t>
            </w:r>
            <w:r>
              <w:t xml:space="preserve"> over $999.00</w:t>
            </w:r>
          </w:p>
        </w:tc>
      </w:tr>
      <w:tr w:rsidR="00A128A1" w:rsidTr="00A128A1">
        <w:tc>
          <w:tcPr>
            <w:tcW w:w="4675" w:type="dxa"/>
          </w:tcPr>
          <w:p w:rsidR="00A128A1" w:rsidRDefault="00A128A1" w:rsidP="00A128A1">
            <w:pPr>
              <w:pStyle w:val="ListParagraph"/>
              <w:numPr>
                <w:ilvl w:val="0"/>
                <w:numId w:val="1"/>
              </w:numPr>
              <w:ind w:left="150" w:hanging="180"/>
            </w:pPr>
            <w:r>
              <w:t>Office Supplies</w:t>
            </w:r>
          </w:p>
        </w:tc>
        <w:tc>
          <w:tcPr>
            <w:tcW w:w="4675" w:type="dxa"/>
          </w:tcPr>
          <w:p w:rsidR="00A128A1" w:rsidRDefault="00CE1D19" w:rsidP="00A128A1">
            <w:pPr>
              <w:pStyle w:val="ListParagraph"/>
              <w:numPr>
                <w:ilvl w:val="0"/>
                <w:numId w:val="1"/>
              </w:numPr>
              <w:ind w:left="166" w:hanging="196"/>
            </w:pPr>
            <w:r>
              <w:t xml:space="preserve">Furniture – Contact </w:t>
            </w:r>
            <w:r w:rsidR="001879E0">
              <w:t xml:space="preserve">Facilities </w:t>
            </w:r>
            <w:r>
              <w:t>Staff for further information</w:t>
            </w:r>
          </w:p>
        </w:tc>
      </w:tr>
      <w:tr w:rsidR="00A128A1" w:rsidTr="00A128A1">
        <w:tc>
          <w:tcPr>
            <w:tcW w:w="4675" w:type="dxa"/>
          </w:tcPr>
          <w:p w:rsidR="00A128A1" w:rsidRDefault="00A128A1" w:rsidP="00A128A1">
            <w:pPr>
              <w:pStyle w:val="ListParagraph"/>
              <w:numPr>
                <w:ilvl w:val="0"/>
                <w:numId w:val="1"/>
              </w:numPr>
              <w:ind w:left="150" w:hanging="180"/>
            </w:pPr>
            <w:r>
              <w:t>Tickets/Admission for student &amp; staff</w:t>
            </w:r>
          </w:p>
        </w:tc>
        <w:tc>
          <w:tcPr>
            <w:tcW w:w="4675" w:type="dxa"/>
          </w:tcPr>
          <w:p w:rsidR="00A128A1" w:rsidRDefault="00CE1D19" w:rsidP="00A128A1">
            <w:pPr>
              <w:pStyle w:val="ListParagraph"/>
              <w:numPr>
                <w:ilvl w:val="0"/>
                <w:numId w:val="1"/>
              </w:numPr>
              <w:ind w:left="166" w:hanging="196"/>
            </w:pPr>
            <w:r>
              <w:t xml:space="preserve">Gift Cards – Contact </w:t>
            </w:r>
            <w:r w:rsidR="001879E0">
              <w:t>Purchasing</w:t>
            </w:r>
            <w:r>
              <w:t xml:space="preserve"> for further information</w:t>
            </w:r>
          </w:p>
        </w:tc>
      </w:tr>
      <w:tr w:rsidR="00A128A1" w:rsidTr="00A128A1">
        <w:tc>
          <w:tcPr>
            <w:tcW w:w="4675" w:type="dxa"/>
          </w:tcPr>
          <w:p w:rsidR="00A128A1" w:rsidRDefault="00A128A1" w:rsidP="00A128A1">
            <w:pPr>
              <w:pStyle w:val="ListParagraph"/>
              <w:numPr>
                <w:ilvl w:val="0"/>
                <w:numId w:val="1"/>
              </w:numPr>
              <w:ind w:left="150" w:hanging="180"/>
            </w:pPr>
            <w:r>
              <w:t>Tools</w:t>
            </w:r>
            <w:r w:rsidR="00C051AB">
              <w:t xml:space="preserve"> (not equipment) less than $1,</w:t>
            </w:r>
            <w:bookmarkStart w:id="0" w:name="_GoBack"/>
            <w:bookmarkEnd w:id="0"/>
            <w:r w:rsidR="00C051AB">
              <w:t>000.00</w:t>
            </w:r>
          </w:p>
        </w:tc>
        <w:tc>
          <w:tcPr>
            <w:tcW w:w="4675" w:type="dxa"/>
          </w:tcPr>
          <w:p w:rsidR="00A128A1" w:rsidRDefault="00CE1D19" w:rsidP="00A128A1">
            <w:pPr>
              <w:pStyle w:val="ListParagraph"/>
              <w:numPr>
                <w:ilvl w:val="0"/>
                <w:numId w:val="1"/>
              </w:numPr>
              <w:ind w:left="166" w:hanging="196"/>
            </w:pPr>
            <w:r>
              <w:t>Hotel miscellaneous charges other than lodging (room service, movies, spa &amp; exercise fees)</w:t>
            </w:r>
          </w:p>
        </w:tc>
      </w:tr>
      <w:tr w:rsidR="00A128A1" w:rsidTr="00A128A1">
        <w:tc>
          <w:tcPr>
            <w:tcW w:w="4675" w:type="dxa"/>
          </w:tcPr>
          <w:p w:rsidR="00A128A1" w:rsidRDefault="00A128A1" w:rsidP="00A128A1">
            <w:pPr>
              <w:pStyle w:val="ListParagraph"/>
              <w:numPr>
                <w:ilvl w:val="0"/>
                <w:numId w:val="1"/>
              </w:numPr>
              <w:ind w:left="150" w:hanging="180"/>
            </w:pPr>
            <w:r>
              <w:t>Travel</w:t>
            </w:r>
          </w:p>
          <w:p w:rsidR="00A128A1" w:rsidRDefault="00A128A1" w:rsidP="00A128A1">
            <w:pPr>
              <w:pStyle w:val="ListParagraph"/>
              <w:numPr>
                <w:ilvl w:val="0"/>
                <w:numId w:val="2"/>
              </w:numPr>
            </w:pPr>
            <w:r>
              <w:t>Hotel/Lodging</w:t>
            </w:r>
          </w:p>
          <w:p w:rsidR="00A128A1" w:rsidRDefault="00A128A1" w:rsidP="00A128A1">
            <w:pPr>
              <w:pStyle w:val="ListParagraph"/>
              <w:numPr>
                <w:ilvl w:val="0"/>
                <w:numId w:val="2"/>
              </w:numPr>
            </w:pPr>
            <w:r>
              <w:t>Car Rental</w:t>
            </w:r>
          </w:p>
          <w:p w:rsidR="001879E0" w:rsidRDefault="001879E0" w:rsidP="00A128A1">
            <w:pPr>
              <w:pStyle w:val="ListParagraph"/>
              <w:numPr>
                <w:ilvl w:val="0"/>
                <w:numId w:val="2"/>
              </w:numPr>
            </w:pPr>
            <w:r>
              <w:t>Airline Tickets</w:t>
            </w:r>
          </w:p>
        </w:tc>
        <w:tc>
          <w:tcPr>
            <w:tcW w:w="4675" w:type="dxa"/>
          </w:tcPr>
          <w:p w:rsidR="00A128A1" w:rsidRDefault="00CE1D19" w:rsidP="00A128A1">
            <w:pPr>
              <w:pStyle w:val="ListParagraph"/>
              <w:numPr>
                <w:ilvl w:val="0"/>
                <w:numId w:val="1"/>
              </w:numPr>
              <w:ind w:left="166" w:hanging="196"/>
            </w:pPr>
            <w:r>
              <w:t xml:space="preserve">Meals (Faculty &amp; Staff) while on travel status as </w:t>
            </w:r>
            <w:r w:rsidR="001879E0">
              <w:t>P</w:t>
            </w:r>
            <w:r>
              <w:t>er Diem is paid on a Travel Advance Form or Travel reimbursement</w:t>
            </w:r>
            <w:r w:rsidR="001879E0">
              <w:t xml:space="preserve"> (some exceptions are granted to staff traveling with students)</w:t>
            </w:r>
          </w:p>
        </w:tc>
      </w:tr>
      <w:tr w:rsidR="00A128A1" w:rsidTr="00A128A1">
        <w:tc>
          <w:tcPr>
            <w:tcW w:w="4675" w:type="dxa"/>
          </w:tcPr>
          <w:p w:rsidR="00A128A1" w:rsidRDefault="00A128A1" w:rsidP="00A128A1">
            <w:pPr>
              <w:pStyle w:val="ListParagraph"/>
              <w:numPr>
                <w:ilvl w:val="0"/>
                <w:numId w:val="1"/>
              </w:numPr>
              <w:ind w:left="150" w:hanging="180"/>
            </w:pPr>
            <w:r>
              <w:t>Webinars</w:t>
            </w:r>
          </w:p>
        </w:tc>
        <w:tc>
          <w:tcPr>
            <w:tcW w:w="4675" w:type="dxa"/>
          </w:tcPr>
          <w:p w:rsidR="00A128A1" w:rsidRDefault="001879E0" w:rsidP="00A128A1">
            <w:pPr>
              <w:pStyle w:val="ListParagraph"/>
              <w:numPr>
                <w:ilvl w:val="0"/>
                <w:numId w:val="1"/>
              </w:numPr>
              <w:ind w:left="166" w:hanging="196"/>
            </w:pPr>
            <w:r>
              <w:t>Personal Purchases with the intention of reimbursing the college</w:t>
            </w:r>
          </w:p>
        </w:tc>
      </w:tr>
      <w:tr w:rsidR="00CE1D19" w:rsidTr="00A128A1">
        <w:tc>
          <w:tcPr>
            <w:tcW w:w="4675" w:type="dxa"/>
          </w:tcPr>
          <w:p w:rsidR="00CE1D19" w:rsidRDefault="00CE1D19" w:rsidP="00CC0830">
            <w:pPr>
              <w:pStyle w:val="ListParagraph"/>
              <w:ind w:left="150"/>
            </w:pPr>
          </w:p>
        </w:tc>
        <w:tc>
          <w:tcPr>
            <w:tcW w:w="4675" w:type="dxa"/>
          </w:tcPr>
          <w:p w:rsidR="00CE1D19" w:rsidRDefault="00CE1D19" w:rsidP="00A128A1">
            <w:pPr>
              <w:pStyle w:val="ListParagraph"/>
              <w:numPr>
                <w:ilvl w:val="0"/>
                <w:numId w:val="1"/>
              </w:numPr>
              <w:ind w:left="166" w:hanging="196"/>
            </w:pPr>
            <w:r>
              <w:t>All Personal Service/Performer Speaker Contracts</w:t>
            </w:r>
          </w:p>
        </w:tc>
      </w:tr>
      <w:tr w:rsidR="00CE1D19" w:rsidTr="00A128A1">
        <w:tc>
          <w:tcPr>
            <w:tcW w:w="4675" w:type="dxa"/>
          </w:tcPr>
          <w:p w:rsidR="00CE1D19" w:rsidRDefault="00CE1D19" w:rsidP="00C64C6D">
            <w:pPr>
              <w:ind w:left="-30"/>
            </w:pPr>
          </w:p>
        </w:tc>
        <w:tc>
          <w:tcPr>
            <w:tcW w:w="4675" w:type="dxa"/>
          </w:tcPr>
          <w:p w:rsidR="00CE1D19" w:rsidRDefault="00C64C6D" w:rsidP="00A128A1">
            <w:pPr>
              <w:pStyle w:val="ListParagraph"/>
              <w:numPr>
                <w:ilvl w:val="0"/>
                <w:numId w:val="1"/>
              </w:numPr>
              <w:ind w:left="166" w:hanging="196"/>
            </w:pPr>
            <w:r>
              <w:t>Purchase of goods, materials or services from any member of the card user/custodian’s immediate family or secondary employer</w:t>
            </w:r>
          </w:p>
        </w:tc>
      </w:tr>
      <w:tr w:rsidR="00CE1D19" w:rsidTr="00A128A1">
        <w:tc>
          <w:tcPr>
            <w:tcW w:w="4675" w:type="dxa"/>
          </w:tcPr>
          <w:p w:rsidR="00CE1D19" w:rsidRDefault="00CE1D19" w:rsidP="00C64C6D">
            <w:pPr>
              <w:ind w:left="-30"/>
            </w:pPr>
          </w:p>
        </w:tc>
        <w:tc>
          <w:tcPr>
            <w:tcW w:w="4675" w:type="dxa"/>
          </w:tcPr>
          <w:p w:rsidR="00CE1D19" w:rsidRDefault="00C64C6D" w:rsidP="00A128A1">
            <w:pPr>
              <w:pStyle w:val="ListParagraph"/>
              <w:numPr>
                <w:ilvl w:val="0"/>
                <w:numId w:val="1"/>
              </w:numPr>
              <w:ind w:left="166" w:hanging="196"/>
            </w:pPr>
            <w:r>
              <w:t xml:space="preserve">Repair, maintenance services/installations-Examples include product repairs, labor related orders, installations or maintenance agreements. Any agreement that requires a </w:t>
            </w:r>
            <w:r>
              <w:lastRenderedPageBreak/>
              <w:t xml:space="preserve">signature. Exemptions may be granted on a case by case basis. </w:t>
            </w:r>
          </w:p>
        </w:tc>
      </w:tr>
      <w:tr w:rsidR="00CE1D19" w:rsidTr="00A128A1">
        <w:tc>
          <w:tcPr>
            <w:tcW w:w="4675" w:type="dxa"/>
          </w:tcPr>
          <w:p w:rsidR="00CE1D19" w:rsidRDefault="00CE1D19" w:rsidP="00C64C6D">
            <w:pPr>
              <w:ind w:left="-30"/>
            </w:pPr>
          </w:p>
        </w:tc>
        <w:tc>
          <w:tcPr>
            <w:tcW w:w="4675" w:type="dxa"/>
          </w:tcPr>
          <w:p w:rsidR="00CE1D19" w:rsidRDefault="00C64C6D" w:rsidP="00A128A1">
            <w:pPr>
              <w:pStyle w:val="ListParagraph"/>
              <w:numPr>
                <w:ilvl w:val="0"/>
                <w:numId w:val="1"/>
              </w:numPr>
              <w:ind w:left="166" w:hanging="196"/>
            </w:pPr>
            <w:r>
              <w:t>Splitting Transactions to circumvent card, bid or authority limits</w:t>
            </w:r>
          </w:p>
        </w:tc>
      </w:tr>
      <w:tr w:rsidR="00C64C6D" w:rsidTr="00A128A1">
        <w:tc>
          <w:tcPr>
            <w:tcW w:w="4675" w:type="dxa"/>
          </w:tcPr>
          <w:p w:rsidR="00C64C6D" w:rsidRDefault="00C64C6D" w:rsidP="00C64C6D">
            <w:pPr>
              <w:ind w:left="-30"/>
            </w:pPr>
          </w:p>
        </w:tc>
        <w:tc>
          <w:tcPr>
            <w:tcW w:w="4675" w:type="dxa"/>
          </w:tcPr>
          <w:p w:rsidR="00C64C6D" w:rsidRDefault="00CC0830" w:rsidP="00A128A1">
            <w:pPr>
              <w:pStyle w:val="ListParagraph"/>
              <w:numPr>
                <w:ilvl w:val="0"/>
                <w:numId w:val="1"/>
              </w:numPr>
              <w:ind w:left="166" w:hanging="196"/>
            </w:pPr>
            <w:r>
              <w:t>All other u</w:t>
            </w:r>
            <w:r w:rsidR="00C64C6D">
              <w:t xml:space="preserve">nauthorized purchases </w:t>
            </w:r>
          </w:p>
        </w:tc>
      </w:tr>
    </w:tbl>
    <w:p w:rsidR="00A128A1" w:rsidRDefault="00A128A1" w:rsidP="00A128A1"/>
    <w:sectPr w:rsidR="00A128A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A74" w:rsidRDefault="00F72A74" w:rsidP="007F44D2">
      <w:pPr>
        <w:spacing w:after="0" w:line="240" w:lineRule="auto"/>
      </w:pPr>
      <w:r>
        <w:separator/>
      </w:r>
    </w:p>
  </w:endnote>
  <w:endnote w:type="continuationSeparator" w:id="0">
    <w:p w:rsidR="00F72A74" w:rsidRDefault="00F72A74" w:rsidP="007F4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677776"/>
      <w:docPartObj>
        <w:docPartGallery w:val="Page Numbers (Bottom of Page)"/>
        <w:docPartUnique/>
      </w:docPartObj>
    </w:sdtPr>
    <w:sdtEndPr>
      <w:rPr>
        <w:noProof/>
      </w:rPr>
    </w:sdtEndPr>
    <w:sdtContent>
      <w:p w:rsidR="007F44D2" w:rsidRDefault="007F44D2" w:rsidP="007F44D2">
        <w:pPr>
          <w:pStyle w:val="Footer"/>
          <w:ind w:firstLine="4320"/>
        </w:pPr>
        <w:r>
          <w:fldChar w:fldCharType="begin"/>
        </w:r>
        <w:r>
          <w:instrText xml:space="preserve"> PAGE   \* MERGEFORMAT </w:instrText>
        </w:r>
        <w:r>
          <w:fldChar w:fldCharType="separate"/>
        </w:r>
        <w:r w:rsidR="008675F9">
          <w:rPr>
            <w:noProof/>
          </w:rPr>
          <w:t>2</w:t>
        </w:r>
        <w:r>
          <w:rPr>
            <w:noProof/>
          </w:rPr>
          <w:fldChar w:fldCharType="end"/>
        </w:r>
      </w:p>
    </w:sdtContent>
  </w:sdt>
  <w:p w:rsidR="007F44D2" w:rsidRDefault="007F4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A74" w:rsidRDefault="00F72A74" w:rsidP="007F44D2">
      <w:pPr>
        <w:spacing w:after="0" w:line="240" w:lineRule="auto"/>
      </w:pPr>
      <w:r>
        <w:separator/>
      </w:r>
    </w:p>
  </w:footnote>
  <w:footnote w:type="continuationSeparator" w:id="0">
    <w:p w:rsidR="00F72A74" w:rsidRDefault="00F72A74" w:rsidP="007F44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AF4C0A"/>
    <w:multiLevelType w:val="hybridMultilevel"/>
    <w:tmpl w:val="D102B5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EE26CA"/>
    <w:multiLevelType w:val="hybridMultilevel"/>
    <w:tmpl w:val="5B58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A1"/>
    <w:rsid w:val="00070242"/>
    <w:rsid w:val="001879E0"/>
    <w:rsid w:val="002C2830"/>
    <w:rsid w:val="004A35B7"/>
    <w:rsid w:val="004E212D"/>
    <w:rsid w:val="006E22FC"/>
    <w:rsid w:val="007172A4"/>
    <w:rsid w:val="007F44D2"/>
    <w:rsid w:val="008675F9"/>
    <w:rsid w:val="009B762D"/>
    <w:rsid w:val="00A07E43"/>
    <w:rsid w:val="00A128A1"/>
    <w:rsid w:val="00AA50AC"/>
    <w:rsid w:val="00C051AB"/>
    <w:rsid w:val="00C64C6D"/>
    <w:rsid w:val="00CB5E3A"/>
    <w:rsid w:val="00CC0830"/>
    <w:rsid w:val="00CE1D19"/>
    <w:rsid w:val="00F72A74"/>
    <w:rsid w:val="00FD1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722B8"/>
  <w15:chartTrackingRefBased/>
  <w15:docId w15:val="{B91BB4D6-C8CB-4BA0-8D1C-3615D472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2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28A1"/>
    <w:pPr>
      <w:ind w:left="720"/>
      <w:contextualSpacing/>
    </w:pPr>
  </w:style>
  <w:style w:type="paragraph" w:styleId="Header">
    <w:name w:val="header"/>
    <w:basedOn w:val="Normal"/>
    <w:link w:val="HeaderChar"/>
    <w:uiPriority w:val="99"/>
    <w:unhideWhenUsed/>
    <w:rsid w:val="007F4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4D2"/>
  </w:style>
  <w:style w:type="paragraph" w:styleId="Footer">
    <w:name w:val="footer"/>
    <w:basedOn w:val="Normal"/>
    <w:link w:val="FooterChar"/>
    <w:uiPriority w:val="99"/>
    <w:unhideWhenUsed/>
    <w:rsid w:val="007F4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South Puget Sound Community College</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Melancon</dc:creator>
  <cp:keywords/>
  <dc:description/>
  <cp:lastModifiedBy>Vida Sherrard-Hannon</cp:lastModifiedBy>
  <cp:revision>2</cp:revision>
  <dcterms:created xsi:type="dcterms:W3CDTF">2023-08-11T16:55:00Z</dcterms:created>
  <dcterms:modified xsi:type="dcterms:W3CDTF">2023-08-11T16:55:00Z</dcterms:modified>
</cp:coreProperties>
</file>