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2016" w14:textId="77777777" w:rsidR="00892590" w:rsidRDefault="00000000">
      <w:pPr>
        <w:spacing w:after="40"/>
      </w:pPr>
      <w:r>
        <w:rPr>
          <w:rFonts w:ascii="Calibri" w:eastAsia="Calibri" w:hAnsi="Calibri" w:cs="Calibri"/>
          <w:b/>
          <w:bCs/>
          <w:color w:val="0051BA"/>
          <w:spacing w:val="30"/>
          <w:sz w:val="17"/>
          <w:szCs w:val="17"/>
        </w:rPr>
        <w:t>NAVIGATE360 GUIDE</w:t>
      </w:r>
    </w:p>
    <w:p w14:paraId="0ABD3571" w14:textId="77777777" w:rsidR="00892590" w:rsidRDefault="00000000">
      <w:pPr>
        <w:spacing w:after="140"/>
      </w:pPr>
      <w:r>
        <w:rPr>
          <w:rFonts w:ascii="Calibri" w:eastAsia="Calibri" w:hAnsi="Calibri" w:cs="Calibri"/>
          <w:b/>
          <w:bCs/>
          <w:color w:val="0051BA"/>
          <w:sz w:val="44"/>
          <w:szCs w:val="44"/>
        </w:rPr>
        <w:t>Messaging Campaigns in Navigate360</w:t>
      </w:r>
    </w:p>
    <w:tbl>
      <w:tblPr>
        <w:tblW w:w="1425"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5"/>
      </w:tblGrid>
      <w:tr w:rsidR="00892590" w14:paraId="23EE7AF9" w14:textId="77777777" w:rsidTr="1FC5E552">
        <w:tblPrEx>
          <w:tblCellMar>
            <w:top w:w="0" w:type="dxa"/>
            <w:bottom w:w="0" w:type="dxa"/>
          </w:tblCellMar>
        </w:tblPrEx>
        <w:trPr>
          <w:tblHeader/>
        </w:trPr>
        <w:tc>
          <w:tcPr>
            <w:tcW w:w="1425" w:type="dxa"/>
            <w:shd w:val="clear" w:color="auto" w:fill="0051BA"/>
            <w:tcMar>
              <w:top w:w="30" w:type="dxa"/>
              <w:left w:w="120" w:type="dxa"/>
              <w:bottom w:w="30" w:type="dxa"/>
              <w:right w:w="120" w:type="dxa"/>
            </w:tcMar>
          </w:tcPr>
          <w:p w14:paraId="217BB345" w14:textId="77777777" w:rsidR="00892590" w:rsidRDefault="00000000">
            <w:pPr>
              <w:jc w:val="center"/>
            </w:pPr>
            <w:r>
              <w:rPr>
                <w:rFonts w:ascii="Calibri" w:eastAsia="Calibri" w:hAnsi="Calibri" w:cs="Calibri"/>
                <w:b/>
                <w:bCs/>
                <w:color w:val="FFFFFF"/>
                <w:spacing w:val="20"/>
                <w:sz w:val="17"/>
                <w:szCs w:val="17"/>
              </w:rPr>
              <w:t>STAFF GUIDE</w:t>
            </w:r>
          </w:p>
        </w:tc>
      </w:tr>
    </w:tbl>
    <w:p w14:paraId="672A6659" w14:textId="77777777" w:rsidR="00892590" w:rsidRDefault="00892590">
      <w:pPr>
        <w:pBdr>
          <w:bottom w:val="single" w:sz="12" w:space="1" w:color="0051BA"/>
        </w:pBdr>
        <w:spacing w:before="120" w:after="220"/>
      </w:pPr>
    </w:p>
    <w:p w14:paraId="39EC13BE" w14:textId="77777777" w:rsidR="00892590" w:rsidRDefault="00000000">
      <w:pPr>
        <w:keepNext/>
        <w:spacing w:before="300" w:after="90"/>
      </w:pPr>
      <w:r>
        <w:rPr>
          <w:rFonts w:ascii="Calibri" w:eastAsia="Calibri" w:hAnsi="Calibri" w:cs="Calibri"/>
          <w:b/>
          <w:bCs/>
          <w:color w:val="0051BA"/>
          <w:sz w:val="28"/>
          <w:szCs w:val="28"/>
        </w:rPr>
        <w:t>Purpose</w:t>
      </w:r>
    </w:p>
    <w:p w14:paraId="361660BD" w14:textId="77777777" w:rsidR="00892590" w:rsidRDefault="00000000">
      <w:pPr>
        <w:spacing w:after="140"/>
      </w:pPr>
      <w:r>
        <w:rPr>
          <w:rFonts w:ascii="Calibri" w:eastAsia="Calibri" w:hAnsi="Calibri" w:cs="Calibri"/>
        </w:rPr>
        <w:t>This guide shows you what Messaging Campaigns are, how to open them, how to track how a campaign is doing, and the permissions you need. A Messaging Campaign lets you email or text a group of students to nudge them toward a specific action, such as finishing the FAFSA or scheduling an appointment.</w:t>
      </w:r>
    </w:p>
    <w:p w14:paraId="5DB9AF96" w14:textId="77777777" w:rsidR="00892590" w:rsidRDefault="00000000">
      <w:pPr>
        <w:keepNext/>
        <w:spacing w:before="300" w:after="90"/>
      </w:pPr>
      <w:r>
        <w:rPr>
          <w:rFonts w:ascii="Calibri" w:eastAsia="Calibri" w:hAnsi="Calibri" w:cs="Calibri"/>
          <w:b/>
          <w:bCs/>
          <w:color w:val="0051BA"/>
          <w:sz w:val="28"/>
          <w:szCs w:val="28"/>
        </w:rPr>
        <w:t>What Messaging Campaigns Are</w:t>
      </w:r>
    </w:p>
    <w:p w14:paraId="043F149D" w14:textId="77777777" w:rsidR="00892590" w:rsidRDefault="00000000">
      <w:pPr>
        <w:spacing w:after="140"/>
      </w:pPr>
      <w:r>
        <w:rPr>
          <w:rFonts w:ascii="Calibri" w:eastAsia="Calibri" w:hAnsi="Calibri" w:cs="Calibri"/>
        </w:rPr>
        <w:t xml:space="preserve">A Messaging Campaign lets you reach out to a specific group of students and </w:t>
      </w:r>
      <w:proofErr w:type="gramStart"/>
      <w:r>
        <w:rPr>
          <w:rFonts w:ascii="Calibri" w:eastAsia="Calibri" w:hAnsi="Calibri" w:cs="Calibri"/>
        </w:rPr>
        <w:t>encourage</w:t>
      </w:r>
      <w:proofErr w:type="gramEnd"/>
      <w:r>
        <w:rPr>
          <w:rFonts w:ascii="Calibri" w:eastAsia="Calibri" w:hAnsi="Calibri" w:cs="Calibri"/>
        </w:rPr>
        <w:t xml:space="preserve"> them to take an action. You build the group with Advanced Search, then send one or more messages, called nudges, by email or text. Campaigns work well for outreach such as enrollment reminders, financial aid steps, or inviting students to schedule an appointment.</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892590" w14:paraId="4A56F0A9"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0C62FE5F" w14:textId="77777777" w:rsidR="00892590" w:rsidRDefault="00000000">
            <w:r>
              <w:rPr>
                <w:rFonts w:ascii="Calibri" w:eastAsia="Calibri" w:hAnsi="Calibri" w:cs="Calibri"/>
                <w:b/>
                <w:bCs/>
              </w:rPr>
              <w:t>Note:</w:t>
            </w:r>
            <w:r>
              <w:rPr>
                <w:rFonts w:ascii="Calibri" w:eastAsia="Calibri" w:hAnsi="Calibri" w:cs="Calibri"/>
              </w:rPr>
              <w:t xml:space="preserve"> This guide is an overview of Messaging Campaigns and how to read their results. The full step by step for building and launching a campaign is a separate topic.</w:t>
            </w:r>
          </w:p>
        </w:tc>
      </w:tr>
    </w:tbl>
    <w:p w14:paraId="0A37501D" w14:textId="77777777" w:rsidR="00892590" w:rsidRDefault="00892590">
      <w:pPr>
        <w:spacing w:after="120"/>
      </w:pPr>
    </w:p>
    <w:p w14:paraId="121E97A4" w14:textId="77777777" w:rsidR="00892590" w:rsidRDefault="00000000">
      <w:pPr>
        <w:keepNext/>
        <w:spacing w:before="300" w:after="90"/>
      </w:pPr>
      <w:r>
        <w:rPr>
          <w:rFonts w:ascii="Calibri" w:eastAsia="Calibri" w:hAnsi="Calibri" w:cs="Calibri"/>
          <w:b/>
          <w:bCs/>
          <w:color w:val="0051BA"/>
          <w:sz w:val="28"/>
          <w:szCs w:val="28"/>
        </w:rPr>
        <w:t>Opening Messaging Campaigns</w:t>
      </w:r>
    </w:p>
    <w:p w14:paraId="315ED254" w14:textId="77777777" w:rsidR="00892590" w:rsidRDefault="00000000">
      <w:pPr>
        <w:spacing w:after="140"/>
      </w:pPr>
      <w:r>
        <w:rPr>
          <w:rFonts w:ascii="Calibri" w:eastAsia="Calibri" w:hAnsi="Calibri" w:cs="Calibri"/>
        </w:rPr>
        <w:t>You can open Messaging Campaigns two ways:</w:t>
      </w:r>
    </w:p>
    <w:p w14:paraId="29A9B539" w14:textId="77777777" w:rsidR="00892590" w:rsidRDefault="00000000">
      <w:pPr>
        <w:pStyle w:val="ListParagraph"/>
        <w:numPr>
          <w:ilvl w:val="0"/>
          <w:numId w:val="2"/>
        </w:numPr>
        <w:spacing w:after="70"/>
      </w:pPr>
      <w:r>
        <w:rPr>
          <w:rFonts w:ascii="Calibri" w:eastAsia="Calibri" w:hAnsi="Calibri" w:cs="Calibri"/>
        </w:rPr>
        <w:t xml:space="preserve">From the </w:t>
      </w:r>
      <w:r>
        <w:rPr>
          <w:rFonts w:ascii="Calibri" w:eastAsia="Calibri" w:hAnsi="Calibri" w:cs="Calibri"/>
          <w:b/>
          <w:bCs/>
        </w:rPr>
        <w:t>Quick Links</w:t>
      </w:r>
      <w:r>
        <w:rPr>
          <w:rFonts w:ascii="Calibri" w:eastAsia="Calibri" w:hAnsi="Calibri" w:cs="Calibri"/>
        </w:rPr>
        <w:t xml:space="preserve"> section on your Staff Home page.</w:t>
      </w:r>
    </w:p>
    <w:p w14:paraId="4D7946FC" w14:textId="77777777" w:rsidR="00892590" w:rsidRDefault="00000000">
      <w:pPr>
        <w:pStyle w:val="ListParagraph"/>
        <w:numPr>
          <w:ilvl w:val="0"/>
          <w:numId w:val="2"/>
        </w:numPr>
        <w:spacing w:after="70"/>
      </w:pPr>
      <w:r>
        <w:rPr>
          <w:rFonts w:ascii="Calibri" w:eastAsia="Calibri" w:hAnsi="Calibri" w:cs="Calibri"/>
        </w:rPr>
        <w:t xml:space="preserve">From the </w:t>
      </w:r>
      <w:r>
        <w:rPr>
          <w:rFonts w:ascii="Calibri" w:eastAsia="Calibri" w:hAnsi="Calibri" w:cs="Calibri"/>
          <w:b/>
          <w:bCs/>
        </w:rPr>
        <w:t>Campaigns</w:t>
      </w:r>
      <w:r>
        <w:rPr>
          <w:rFonts w:ascii="Calibri" w:eastAsia="Calibri" w:hAnsi="Calibri" w:cs="Calibri"/>
        </w:rPr>
        <w:t xml:space="preserve"> page. Click the Campaigns icon on the blue navigation bar, then select </w:t>
      </w:r>
      <w:r>
        <w:rPr>
          <w:rFonts w:ascii="Calibri" w:eastAsia="Calibri" w:hAnsi="Calibri" w:cs="Calibri"/>
          <w:b/>
          <w:bCs/>
        </w:rPr>
        <w:t>Messaging Campaigns</w:t>
      </w:r>
      <w:r>
        <w:rPr>
          <w:rFonts w:ascii="Calibri" w:eastAsia="Calibri" w:hAnsi="Calibri" w:cs="Calibri"/>
        </w:rPr>
        <w:t>.</w:t>
      </w:r>
    </w:p>
    <w:p w14:paraId="2014AB42" w14:textId="77777777" w:rsidR="00892590" w:rsidRDefault="00000000">
      <w:pPr>
        <w:spacing w:after="140"/>
      </w:pPr>
      <w:r>
        <w:rPr>
          <w:rFonts w:ascii="Calibri" w:eastAsia="Calibri" w:hAnsi="Calibri" w:cs="Calibri"/>
        </w:rPr>
        <w:t xml:space="preserve">To start a new campaign, click </w:t>
      </w:r>
      <w:r>
        <w:rPr>
          <w:rFonts w:ascii="Calibri" w:eastAsia="Calibri" w:hAnsi="Calibri" w:cs="Calibri"/>
          <w:b/>
          <w:bCs/>
        </w:rPr>
        <w:t>Add New</w:t>
      </w:r>
      <w:r>
        <w:rPr>
          <w:rFonts w:ascii="Calibri" w:eastAsia="Calibri" w:hAnsi="Calibri" w:cs="Calibri"/>
        </w:rPr>
        <w:t>.</w:t>
      </w:r>
    </w:p>
    <w:p w14:paraId="5DAB6C7B" w14:textId="77777777" w:rsidR="00892590" w:rsidRDefault="00000000">
      <w:pPr>
        <w:spacing w:before="60" w:after="160"/>
        <w:jc w:val="center"/>
      </w:pPr>
      <w:r>
        <w:rPr>
          <w:noProof/>
        </w:rPr>
        <w:drawing>
          <wp:inline distT="0" distB="0" distL="0" distR="0" wp14:anchorId="7E86464E" wp14:editId="22D3B0C3">
            <wp:extent cx="4572000" cy="1271788"/>
            <wp:effectExtent l="0" t="0" r="0" b="0"/>
            <wp:docPr id="2001" name="Messaging Campaigns quick link" descr="Image: Messaging Campaigns menu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Messaging Campaigns quick link" descr="Image: Messaging Campaigns menu item"/>
                    <pic:cNvPicPr/>
                  </pic:nvPicPr>
                  <pic:blipFill>
                    <a:blip r:embed="rId7"/>
                    <a:stretch>
                      <a:fillRect/>
                    </a:stretch>
                  </pic:blipFill>
                  <pic:spPr>
                    <a:xfrm>
                      <a:off x="0" y="0"/>
                      <a:ext cx="4572000" cy="1271788"/>
                    </a:xfrm>
                    <a:prstGeom prst="rect">
                      <a:avLst/>
                    </a:prstGeom>
                  </pic:spPr>
                </pic:pic>
              </a:graphicData>
            </a:graphic>
          </wp:inline>
        </w:drawing>
      </w:r>
    </w:p>
    <w:p w14:paraId="5AD404AF" w14:textId="77777777" w:rsidR="00892590" w:rsidRDefault="00000000">
      <w:pPr>
        <w:keepNext/>
        <w:spacing w:before="300" w:after="90"/>
      </w:pPr>
      <w:r>
        <w:rPr>
          <w:rFonts w:ascii="Calibri" w:eastAsia="Calibri" w:hAnsi="Calibri" w:cs="Calibri"/>
          <w:b/>
          <w:bCs/>
          <w:color w:val="0051BA"/>
          <w:sz w:val="28"/>
          <w:szCs w:val="28"/>
        </w:rPr>
        <w:t>Tracking Your Campaigns</w:t>
      </w:r>
    </w:p>
    <w:p w14:paraId="0039572A" w14:textId="77777777" w:rsidR="00892590" w:rsidRDefault="00000000">
      <w:pPr>
        <w:spacing w:after="140"/>
      </w:pPr>
      <w:r>
        <w:rPr>
          <w:rFonts w:ascii="Calibri" w:eastAsia="Calibri" w:hAnsi="Calibri" w:cs="Calibri"/>
        </w:rPr>
        <w:t>Once you have created a campaign, you track it from the Messaging Campaigns page. This page lists your campaigns with their status, number of students, most recent nudge, and next nudge. From here you can copy, resume, or delete a campaign, and clicking a campaign name opens its full report.</w:t>
      </w:r>
    </w:p>
    <w:p w14:paraId="02EB378F" w14:textId="77777777" w:rsidR="00892590" w:rsidRDefault="00000000">
      <w:pPr>
        <w:spacing w:before="60" w:after="160"/>
        <w:jc w:val="center"/>
      </w:pPr>
      <w:r>
        <w:rPr>
          <w:noProof/>
        </w:rPr>
        <w:lastRenderedPageBreak/>
        <w:drawing>
          <wp:inline distT="0" distB="0" distL="0" distR="0" wp14:anchorId="5EE5D238" wp14:editId="1339F1A4">
            <wp:extent cx="5852160" cy="3058025"/>
            <wp:effectExtent l="0" t="0" r="0" b="0"/>
            <wp:docPr id="2002" name="Messaging Campaigns list" descr="Image: Messaging Campaign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 name="Messaging Campaigns list" descr="Image: Messaging Campaigns window"/>
                    <pic:cNvPicPr/>
                  </pic:nvPicPr>
                  <pic:blipFill>
                    <a:blip r:embed="rId8"/>
                    <a:stretch>
                      <a:fillRect/>
                    </a:stretch>
                  </pic:blipFill>
                  <pic:spPr>
                    <a:xfrm>
                      <a:off x="0" y="0"/>
                      <a:ext cx="5852160" cy="3058025"/>
                    </a:xfrm>
                    <a:prstGeom prst="rect">
                      <a:avLst/>
                    </a:prstGeom>
                  </pic:spPr>
                </pic:pic>
              </a:graphicData>
            </a:graphic>
          </wp:inline>
        </w:drawing>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4A0" w:firstRow="1" w:lastRow="0" w:firstColumn="1" w:lastColumn="0" w:noHBand="0" w:noVBand="1"/>
      </w:tblPr>
      <w:tblGrid>
        <w:gridCol w:w="10080"/>
      </w:tblGrid>
      <w:tr w:rsidR="00892590" w14:paraId="05F8760F"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6215AF84" w14:textId="77777777" w:rsidR="00892590" w:rsidRDefault="00000000">
            <w:r>
              <w:rPr>
                <w:rFonts w:ascii="Calibri" w:eastAsia="Calibri" w:hAnsi="Calibri" w:cs="Calibri"/>
                <w:b/>
                <w:bCs/>
              </w:rPr>
              <w:t>Note:</w:t>
            </w:r>
            <w:r>
              <w:rPr>
                <w:rFonts w:ascii="Calibri" w:eastAsia="Calibri" w:hAnsi="Calibri" w:cs="Calibri"/>
              </w:rPr>
              <w:t xml:space="preserve"> Nudge metrics are not on by default. To turn them on, work with your care unit lead, who submits an IT ticket so the Navigate360 team can complete the work.</w:t>
            </w:r>
          </w:p>
        </w:tc>
      </w:tr>
    </w:tbl>
    <w:p w14:paraId="6A05A809" w14:textId="77777777" w:rsidR="00892590" w:rsidRDefault="00892590">
      <w:pPr>
        <w:spacing w:after="120"/>
      </w:pPr>
    </w:p>
    <w:p w14:paraId="6B9BF487" w14:textId="77777777" w:rsidR="00892590" w:rsidRDefault="00000000">
      <w:pPr>
        <w:keepNext/>
        <w:spacing w:before="300" w:after="90"/>
      </w:pPr>
      <w:r>
        <w:rPr>
          <w:rFonts w:ascii="Calibri" w:eastAsia="Calibri" w:hAnsi="Calibri" w:cs="Calibri"/>
          <w:b/>
          <w:bCs/>
          <w:color w:val="0051BA"/>
          <w:sz w:val="28"/>
          <w:szCs w:val="28"/>
        </w:rPr>
        <w:t>The Campaign Report and Its Metrics</w:t>
      </w:r>
    </w:p>
    <w:p w14:paraId="51FD6DD0" w14:textId="77777777" w:rsidR="00892590" w:rsidRDefault="00000000">
      <w:pPr>
        <w:spacing w:after="140"/>
      </w:pPr>
      <w:r>
        <w:rPr>
          <w:rFonts w:ascii="Calibri" w:eastAsia="Calibri" w:hAnsi="Calibri" w:cs="Calibri"/>
        </w:rPr>
        <w:t xml:space="preserve">Click a campaign name to open its report. The </w:t>
      </w:r>
      <w:r>
        <w:rPr>
          <w:rFonts w:ascii="Calibri" w:eastAsia="Calibri" w:hAnsi="Calibri" w:cs="Calibri"/>
          <w:b/>
          <w:bCs/>
        </w:rPr>
        <w:t>Options</w:t>
      </w:r>
      <w:r>
        <w:rPr>
          <w:rFonts w:ascii="Calibri" w:eastAsia="Calibri" w:hAnsi="Calibri" w:cs="Calibri"/>
        </w:rPr>
        <w:t xml:space="preserve"> sidebar lets you edit campaign details, copy or delete the campaign, and export the student list.</w:t>
      </w:r>
    </w:p>
    <w:p w14:paraId="5A39BBE3" w14:textId="77777777" w:rsidR="00892590" w:rsidRDefault="00000000">
      <w:pPr>
        <w:spacing w:before="60" w:after="160"/>
        <w:jc w:val="center"/>
      </w:pPr>
      <w:r>
        <w:rPr>
          <w:noProof/>
        </w:rPr>
        <w:lastRenderedPageBreak/>
        <w:drawing>
          <wp:inline distT="0" distB="0" distL="0" distR="0" wp14:anchorId="3C1EDF92" wp14:editId="11047887">
            <wp:extent cx="4572000" cy="4228939"/>
            <wp:effectExtent l="0" t="0" r="0" b="0"/>
            <wp:docPr id="2003" name="Campaign report detail" descr="Image: Messaging Campaig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 name="Campaign report detail" descr="Image: Messaging Campaign results"/>
                    <pic:cNvPicPr/>
                  </pic:nvPicPr>
                  <pic:blipFill>
                    <a:blip r:embed="rId9"/>
                    <a:stretch>
                      <a:fillRect/>
                    </a:stretch>
                  </pic:blipFill>
                  <pic:spPr>
                    <a:xfrm>
                      <a:off x="0" y="0"/>
                      <a:ext cx="4572000" cy="4228939"/>
                    </a:xfrm>
                    <a:prstGeom prst="rect">
                      <a:avLst/>
                    </a:prstGeom>
                  </pic:spPr>
                </pic:pic>
              </a:graphicData>
            </a:graphic>
          </wp:inline>
        </w:drawing>
      </w:r>
    </w:p>
    <w:p w14:paraId="322E04CC" w14:textId="77777777" w:rsidR="00892590" w:rsidRDefault="00000000">
      <w:pPr>
        <w:spacing w:after="140"/>
      </w:pPr>
      <w:r>
        <w:rPr>
          <w:rFonts w:ascii="Calibri" w:eastAsia="Calibri" w:hAnsi="Calibri" w:cs="Calibri"/>
        </w:rPr>
        <w:t>The report shows these metrics:</w:t>
      </w:r>
    </w:p>
    <w:p w14:paraId="3D075210" w14:textId="77777777" w:rsidR="00892590" w:rsidRDefault="00000000">
      <w:pPr>
        <w:pStyle w:val="ListParagraph"/>
        <w:numPr>
          <w:ilvl w:val="0"/>
          <w:numId w:val="2"/>
        </w:numPr>
        <w:spacing w:after="70"/>
      </w:pPr>
      <w:r>
        <w:rPr>
          <w:rFonts w:ascii="Calibri" w:eastAsia="Calibri" w:hAnsi="Calibri" w:cs="Calibri"/>
          <w:b/>
          <w:bCs/>
        </w:rPr>
        <w:t xml:space="preserve">Students in Campaign. </w:t>
      </w:r>
      <w:r>
        <w:rPr>
          <w:rFonts w:ascii="Calibri" w:eastAsia="Calibri" w:hAnsi="Calibri" w:cs="Calibri"/>
        </w:rPr>
        <w:t>The number of students who were sent the campaign message.</w:t>
      </w:r>
    </w:p>
    <w:p w14:paraId="002ED477" w14:textId="77777777" w:rsidR="00892590" w:rsidRDefault="00000000">
      <w:pPr>
        <w:pStyle w:val="ListParagraph"/>
        <w:numPr>
          <w:ilvl w:val="0"/>
          <w:numId w:val="2"/>
        </w:numPr>
        <w:spacing w:after="70"/>
      </w:pPr>
      <w:r>
        <w:rPr>
          <w:rFonts w:ascii="Calibri" w:eastAsia="Calibri" w:hAnsi="Calibri" w:cs="Calibri"/>
          <w:b/>
          <w:bCs/>
        </w:rPr>
        <w:t xml:space="preserve">Click to Open Rate. </w:t>
      </w:r>
      <w:proofErr w:type="gramStart"/>
      <w:r>
        <w:rPr>
          <w:rFonts w:ascii="Calibri" w:eastAsia="Calibri" w:hAnsi="Calibri" w:cs="Calibri"/>
        </w:rPr>
        <w:t>Compares</w:t>
      </w:r>
      <w:proofErr w:type="gramEnd"/>
      <w:r>
        <w:rPr>
          <w:rFonts w:ascii="Calibri" w:eastAsia="Calibri" w:hAnsi="Calibri" w:cs="Calibri"/>
        </w:rPr>
        <w:t xml:space="preserve"> unique clicks to unique opens. When it is enabled, you can pull student level </w:t>
      </w:r>
      <w:proofErr w:type="gramStart"/>
      <w:r>
        <w:rPr>
          <w:rFonts w:ascii="Calibri" w:eastAsia="Calibri" w:hAnsi="Calibri" w:cs="Calibri"/>
        </w:rPr>
        <w:t>detail</w:t>
      </w:r>
      <w:proofErr w:type="gramEnd"/>
      <w:r>
        <w:rPr>
          <w:rFonts w:ascii="Calibri" w:eastAsia="Calibri" w:hAnsi="Calibri" w:cs="Calibri"/>
        </w:rPr>
        <w:t xml:space="preserve"> with Export Details for email messages.</w:t>
      </w:r>
    </w:p>
    <w:p w14:paraId="3114E0F7" w14:textId="77777777" w:rsidR="00892590" w:rsidRDefault="00000000">
      <w:pPr>
        <w:pStyle w:val="ListParagraph"/>
        <w:numPr>
          <w:ilvl w:val="0"/>
          <w:numId w:val="2"/>
        </w:numPr>
        <w:spacing w:after="70"/>
      </w:pPr>
      <w:r>
        <w:rPr>
          <w:rFonts w:ascii="Calibri" w:eastAsia="Calibri" w:hAnsi="Calibri" w:cs="Calibri"/>
          <w:b/>
          <w:bCs/>
        </w:rPr>
        <w:t xml:space="preserve">Emails or SMS Sent. </w:t>
      </w:r>
      <w:r>
        <w:rPr>
          <w:rFonts w:ascii="Calibri" w:eastAsia="Calibri" w:hAnsi="Calibri" w:cs="Calibri"/>
        </w:rPr>
        <w:t>The number of messages sent. This can differ from the size of your original list.</w:t>
      </w:r>
    </w:p>
    <w:p w14:paraId="2FCAB668" w14:textId="77777777" w:rsidR="00892590" w:rsidRDefault="00000000">
      <w:pPr>
        <w:pStyle w:val="ListParagraph"/>
        <w:numPr>
          <w:ilvl w:val="0"/>
          <w:numId w:val="2"/>
        </w:numPr>
        <w:spacing w:after="70"/>
      </w:pPr>
      <w:r>
        <w:rPr>
          <w:rFonts w:ascii="Calibri" w:eastAsia="Calibri" w:hAnsi="Calibri" w:cs="Calibri"/>
          <w:b/>
          <w:bCs/>
        </w:rPr>
        <w:t xml:space="preserve">Emails Opened. </w:t>
      </w:r>
      <w:r>
        <w:rPr>
          <w:rFonts w:ascii="Calibri" w:eastAsia="Calibri" w:hAnsi="Calibri" w:cs="Calibri"/>
        </w:rPr>
        <w:t>The number of campaign emails that were opened. SMS opens are not tracked.</w:t>
      </w:r>
    </w:p>
    <w:p w14:paraId="1EB74917" w14:textId="77777777" w:rsidR="00892590" w:rsidRDefault="00000000">
      <w:pPr>
        <w:pStyle w:val="ListParagraph"/>
        <w:numPr>
          <w:ilvl w:val="0"/>
          <w:numId w:val="2"/>
        </w:numPr>
        <w:spacing w:after="70"/>
      </w:pPr>
      <w:r>
        <w:rPr>
          <w:rFonts w:ascii="Calibri" w:eastAsia="Calibri" w:hAnsi="Calibri" w:cs="Calibri"/>
          <w:b/>
          <w:bCs/>
        </w:rPr>
        <w:t xml:space="preserve">Links Clicked. </w:t>
      </w:r>
      <w:r>
        <w:rPr>
          <w:rFonts w:ascii="Calibri" w:eastAsia="Calibri" w:hAnsi="Calibri" w:cs="Calibri"/>
        </w:rPr>
        <w:t>The number of times the link in the message was clicked. Email only.</w:t>
      </w:r>
    </w:p>
    <w:p w14:paraId="3C4CD4E9" w14:textId="77777777" w:rsidR="00892590" w:rsidRDefault="00000000">
      <w:pPr>
        <w:spacing w:after="140"/>
      </w:pPr>
      <w:r>
        <w:rPr>
          <w:rFonts w:ascii="Calibri" w:eastAsia="Calibri" w:hAnsi="Calibri" w:cs="Calibri"/>
        </w:rPr>
        <w:t>The Students in Campaign table sits below the metrics. You can export it to CSV from the Options sidebar.</w:t>
      </w:r>
    </w:p>
    <w:p w14:paraId="7F9982E3" w14:textId="77777777" w:rsidR="00892590" w:rsidRDefault="00000000">
      <w:pPr>
        <w:keepNext/>
        <w:spacing w:before="300" w:after="90"/>
      </w:pPr>
      <w:r>
        <w:rPr>
          <w:rFonts w:ascii="Calibri" w:eastAsia="Calibri" w:hAnsi="Calibri" w:cs="Calibri"/>
          <w:b/>
          <w:bCs/>
          <w:color w:val="0051BA"/>
          <w:sz w:val="28"/>
          <w:szCs w:val="28"/>
        </w:rPr>
        <w:t>Campaigns with a Goal</w:t>
      </w:r>
    </w:p>
    <w:p w14:paraId="1851D87E" w14:textId="77777777" w:rsidR="00892590" w:rsidRDefault="00000000">
      <w:pPr>
        <w:spacing w:after="140"/>
      </w:pPr>
      <w:r>
        <w:rPr>
          <w:rFonts w:ascii="Calibri" w:eastAsia="Calibri" w:hAnsi="Calibri" w:cs="Calibri"/>
        </w:rPr>
        <w:t>If your campaign uses a Campaign Goal, the report adds two metrics:</w:t>
      </w:r>
    </w:p>
    <w:p w14:paraId="6C4AC91D" w14:textId="77777777" w:rsidR="00892590" w:rsidRDefault="00000000">
      <w:pPr>
        <w:pStyle w:val="ListParagraph"/>
        <w:numPr>
          <w:ilvl w:val="0"/>
          <w:numId w:val="2"/>
        </w:numPr>
        <w:spacing w:after="70"/>
      </w:pPr>
      <w:r>
        <w:rPr>
          <w:rFonts w:ascii="Calibri" w:eastAsia="Calibri" w:hAnsi="Calibri" w:cs="Calibri"/>
          <w:b/>
          <w:bCs/>
        </w:rPr>
        <w:t xml:space="preserve">Goal Achieved. </w:t>
      </w:r>
      <w:r>
        <w:rPr>
          <w:rFonts w:ascii="Calibri" w:eastAsia="Calibri" w:hAnsi="Calibri" w:cs="Calibri"/>
        </w:rPr>
        <w:t>The percentage, and number, of students who met the goal.</w:t>
      </w:r>
    </w:p>
    <w:p w14:paraId="33037A61" w14:textId="77777777" w:rsidR="00892590" w:rsidRDefault="00000000">
      <w:pPr>
        <w:pStyle w:val="ListParagraph"/>
        <w:numPr>
          <w:ilvl w:val="0"/>
          <w:numId w:val="2"/>
        </w:numPr>
        <w:spacing w:after="70"/>
      </w:pPr>
      <w:r>
        <w:rPr>
          <w:rFonts w:ascii="Calibri" w:eastAsia="Calibri" w:hAnsi="Calibri" w:cs="Calibri"/>
          <w:b/>
          <w:bCs/>
        </w:rPr>
        <w:t xml:space="preserve">Goal Pending. </w:t>
      </w:r>
      <w:r>
        <w:rPr>
          <w:rFonts w:ascii="Calibri" w:eastAsia="Calibri" w:hAnsi="Calibri" w:cs="Calibri"/>
        </w:rPr>
        <w:t>The percentage, and number, who have not met it yet.</w:t>
      </w:r>
    </w:p>
    <w:p w14:paraId="0C978103" w14:textId="77777777" w:rsidR="00892590" w:rsidRDefault="00000000">
      <w:pPr>
        <w:spacing w:after="140"/>
      </w:pPr>
      <w:r>
        <w:rPr>
          <w:rFonts w:ascii="Calibri" w:eastAsia="Calibri" w:hAnsi="Calibri" w:cs="Calibri"/>
        </w:rPr>
        <w:t xml:space="preserve">The goal, along with the report used to set it, appears in the Campaign Information box. You can see which students have met the goal and which have not on the Goal Achieved and Goal Pending </w:t>
      </w:r>
      <w:proofErr w:type="gramStart"/>
      <w:r>
        <w:rPr>
          <w:rFonts w:ascii="Calibri" w:eastAsia="Calibri" w:hAnsi="Calibri" w:cs="Calibri"/>
        </w:rPr>
        <w:t>tabs, and</w:t>
      </w:r>
      <w:proofErr w:type="gramEnd"/>
      <w:r>
        <w:rPr>
          <w:rFonts w:ascii="Calibri" w:eastAsia="Calibri" w:hAnsi="Calibri" w:cs="Calibri"/>
        </w:rPr>
        <w:t xml:space="preserve"> </w:t>
      </w:r>
      <w:proofErr w:type="gramStart"/>
      <w:r>
        <w:rPr>
          <w:rFonts w:ascii="Calibri" w:eastAsia="Calibri" w:hAnsi="Calibri" w:cs="Calibri"/>
        </w:rPr>
        <w:t>take action</w:t>
      </w:r>
      <w:proofErr w:type="gramEnd"/>
      <w:r>
        <w:rPr>
          <w:rFonts w:ascii="Calibri" w:eastAsia="Calibri" w:hAnsi="Calibri" w:cs="Calibri"/>
        </w:rPr>
        <w:t xml:space="preserve"> or export from there.</w:t>
      </w:r>
    </w:p>
    <w:p w14:paraId="41C8F396" w14:textId="77777777" w:rsidR="00892590" w:rsidRDefault="00000000">
      <w:pPr>
        <w:spacing w:before="60" w:after="160"/>
        <w:jc w:val="center"/>
      </w:pPr>
      <w:r>
        <w:rPr>
          <w:noProof/>
        </w:rPr>
        <w:lastRenderedPageBreak/>
        <w:drawing>
          <wp:inline distT="0" distB="0" distL="0" distR="0" wp14:anchorId="36005FAD" wp14:editId="74E6338D">
            <wp:extent cx="4572000" cy="4135348"/>
            <wp:effectExtent l="0" t="0" r="0" b="0"/>
            <wp:docPr id="2004" name="Campaign goal report" descr="Image: Messaging Campaig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 name="Campaign goal report" descr="Image: Messaging Campaign results"/>
                    <pic:cNvPicPr/>
                  </pic:nvPicPr>
                  <pic:blipFill>
                    <a:blip r:embed="rId10"/>
                    <a:stretch>
                      <a:fillRect/>
                    </a:stretch>
                  </pic:blipFill>
                  <pic:spPr>
                    <a:xfrm>
                      <a:off x="0" y="0"/>
                      <a:ext cx="4572000" cy="4135348"/>
                    </a:xfrm>
                    <a:prstGeom prst="rect">
                      <a:avLst/>
                    </a:prstGeom>
                  </pic:spPr>
                </pic:pic>
              </a:graphicData>
            </a:graphic>
          </wp:inline>
        </w:drawing>
      </w:r>
    </w:p>
    <w:sectPr w:rsidR="00892590">
      <w:footerReference w:type="default" r:id="rId11"/>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DFF7F" w14:textId="77777777" w:rsidR="0002514E" w:rsidRDefault="0002514E">
      <w:r>
        <w:separator/>
      </w:r>
    </w:p>
  </w:endnote>
  <w:endnote w:type="continuationSeparator" w:id="0">
    <w:p w14:paraId="471EA113" w14:textId="77777777" w:rsidR="0002514E" w:rsidRDefault="00025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2A0C" w14:textId="7116E1B9" w:rsidR="00892590" w:rsidRDefault="00000000">
    <w:pPr>
      <w:pBdr>
        <w:top w:val="single" w:sz="4" w:space="6" w:color="F7D9BC"/>
      </w:pBdr>
      <w:tabs>
        <w:tab w:val="right" w:pos="10080"/>
      </w:tabs>
      <w:spacing w:before="60"/>
    </w:pPr>
    <w:r>
      <w:rPr>
        <w:rFonts w:ascii="Calibri" w:eastAsia="Calibri" w:hAnsi="Calibri" w:cs="Calibri"/>
        <w:color w:val="595959"/>
        <w:sz w:val="16"/>
        <w:szCs w:val="16"/>
      </w:rPr>
      <w:t>South Puget Sound Community College   •   Navigate360</w:t>
    </w:r>
    <w:r>
      <w:tab/>
    </w: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FD79B9">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7F3D7" w14:textId="77777777" w:rsidR="0002514E" w:rsidRDefault="0002514E">
      <w:r>
        <w:separator/>
      </w:r>
    </w:p>
  </w:footnote>
  <w:footnote w:type="continuationSeparator" w:id="0">
    <w:p w14:paraId="379C0032" w14:textId="77777777" w:rsidR="0002514E" w:rsidRDefault="00025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3EA02A"/>
    <w:multiLevelType w:val="hybridMultilevel"/>
    <w:tmpl w:val="D58864AA"/>
    <w:lvl w:ilvl="0" w:tplc="4AE0CCE4">
      <w:start w:val="1"/>
      <w:numFmt w:val="bullet"/>
      <w:lvlText w:val="●"/>
      <w:lvlJc w:val="left"/>
      <w:pPr>
        <w:ind w:left="720" w:hanging="360"/>
      </w:pPr>
    </w:lvl>
    <w:lvl w:ilvl="1" w:tplc="F16EBFF6">
      <w:start w:val="1"/>
      <w:numFmt w:val="bullet"/>
      <w:lvlText w:val="○"/>
      <w:lvlJc w:val="left"/>
      <w:pPr>
        <w:ind w:left="1440" w:hanging="360"/>
      </w:pPr>
    </w:lvl>
    <w:lvl w:ilvl="2" w:tplc="E37A5C22">
      <w:start w:val="1"/>
      <w:numFmt w:val="bullet"/>
      <w:lvlText w:val="■"/>
      <w:lvlJc w:val="left"/>
      <w:pPr>
        <w:ind w:left="2160" w:hanging="360"/>
      </w:pPr>
    </w:lvl>
    <w:lvl w:ilvl="3" w:tplc="0660E35C">
      <w:start w:val="1"/>
      <w:numFmt w:val="bullet"/>
      <w:lvlText w:val="●"/>
      <w:lvlJc w:val="left"/>
      <w:pPr>
        <w:ind w:left="2880" w:hanging="360"/>
      </w:pPr>
    </w:lvl>
    <w:lvl w:ilvl="4" w:tplc="FCE806CA">
      <w:start w:val="1"/>
      <w:numFmt w:val="bullet"/>
      <w:lvlText w:val="○"/>
      <w:lvlJc w:val="left"/>
      <w:pPr>
        <w:ind w:left="3600" w:hanging="360"/>
      </w:pPr>
    </w:lvl>
    <w:lvl w:ilvl="5" w:tplc="E09E899A">
      <w:start w:val="1"/>
      <w:numFmt w:val="bullet"/>
      <w:lvlText w:val="■"/>
      <w:lvlJc w:val="left"/>
      <w:pPr>
        <w:ind w:left="4320" w:hanging="360"/>
      </w:pPr>
    </w:lvl>
    <w:lvl w:ilvl="6" w:tplc="6A18B72C">
      <w:start w:val="1"/>
      <w:numFmt w:val="bullet"/>
      <w:lvlText w:val="●"/>
      <w:lvlJc w:val="left"/>
      <w:pPr>
        <w:ind w:left="5040" w:hanging="360"/>
      </w:pPr>
    </w:lvl>
    <w:lvl w:ilvl="7" w:tplc="C0D41D46">
      <w:start w:val="1"/>
      <w:numFmt w:val="bullet"/>
      <w:lvlText w:val="●"/>
      <w:lvlJc w:val="left"/>
      <w:pPr>
        <w:ind w:left="5760" w:hanging="360"/>
      </w:pPr>
    </w:lvl>
    <w:lvl w:ilvl="8" w:tplc="7BC836BC">
      <w:start w:val="1"/>
      <w:numFmt w:val="bullet"/>
      <w:lvlText w:val="●"/>
      <w:lvlJc w:val="left"/>
      <w:pPr>
        <w:ind w:left="6480" w:hanging="360"/>
      </w:pPr>
    </w:lvl>
  </w:abstractNum>
  <w:abstractNum w:abstractNumId="1" w15:restartNumberingAfterBreak="0">
    <w:nsid w:val="6F4223DA"/>
    <w:multiLevelType w:val="hybridMultilevel"/>
    <w:tmpl w:val="E990E290"/>
    <w:lvl w:ilvl="0" w:tplc="3DFEAB14">
      <w:start w:val="1"/>
      <w:numFmt w:val="bullet"/>
      <w:lvlText w:val="•"/>
      <w:lvlJc w:val="left"/>
      <w:pPr>
        <w:ind w:left="360" w:hanging="260"/>
      </w:pPr>
    </w:lvl>
    <w:lvl w:ilvl="1" w:tplc="C8085A3E">
      <w:numFmt w:val="decimal"/>
      <w:lvlText w:val=""/>
      <w:lvlJc w:val="left"/>
    </w:lvl>
    <w:lvl w:ilvl="2" w:tplc="90F69DD0">
      <w:numFmt w:val="decimal"/>
      <w:lvlText w:val=""/>
      <w:lvlJc w:val="left"/>
    </w:lvl>
    <w:lvl w:ilvl="3" w:tplc="CD0008AE">
      <w:numFmt w:val="decimal"/>
      <w:lvlText w:val=""/>
      <w:lvlJc w:val="left"/>
    </w:lvl>
    <w:lvl w:ilvl="4" w:tplc="60DAEA08">
      <w:numFmt w:val="decimal"/>
      <w:lvlText w:val=""/>
      <w:lvlJc w:val="left"/>
    </w:lvl>
    <w:lvl w:ilvl="5" w:tplc="FBFEC2FC">
      <w:numFmt w:val="decimal"/>
      <w:lvlText w:val=""/>
      <w:lvlJc w:val="left"/>
    </w:lvl>
    <w:lvl w:ilvl="6" w:tplc="E48694A6">
      <w:numFmt w:val="decimal"/>
      <w:lvlText w:val=""/>
      <w:lvlJc w:val="left"/>
    </w:lvl>
    <w:lvl w:ilvl="7" w:tplc="1652BB34">
      <w:numFmt w:val="decimal"/>
      <w:lvlText w:val=""/>
      <w:lvlJc w:val="left"/>
    </w:lvl>
    <w:lvl w:ilvl="8" w:tplc="4280735A">
      <w:numFmt w:val="decimal"/>
      <w:lvlText w:val=""/>
      <w:lvlJc w:val="left"/>
    </w:lvl>
  </w:abstractNum>
  <w:num w:numId="1" w16cid:durableId="2070616226">
    <w:abstractNumId w:val="0"/>
    <w:lvlOverride w:ilvl="0">
      <w:startOverride w:val="1"/>
    </w:lvlOverride>
  </w:num>
  <w:num w:numId="2" w16cid:durableId="10411285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C5E552"/>
    <w:rsid w:val="0002514E"/>
    <w:rsid w:val="00300EDE"/>
    <w:rsid w:val="00892590"/>
    <w:rsid w:val="00FD79B9"/>
    <w:rsid w:val="1FC5E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2DAB7"/>
  <w15:docId w15:val="{3BC494EC-445E-4535-ADFD-2AEBF458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Drake</dc:creator>
  <cp:lastModifiedBy>Robert Drake</cp:lastModifiedBy>
  <cp:revision>3</cp:revision>
  <dcterms:created xsi:type="dcterms:W3CDTF">2026-09-29T13:09:00Z</dcterms:created>
  <dcterms:modified xsi:type="dcterms:W3CDTF">2026-09-29T13:34:00Z</dcterms:modified>
</cp:coreProperties>
</file>