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5E6AD" w14:textId="4DEE47CE" w:rsidR="00B3335E" w:rsidRDefault="009B5AD9">
      <w:pPr>
        <w:pStyle w:val="BodyText"/>
        <w:rPr>
          <w:rFonts w:ascii="Times New Roman"/>
          <w:sz w:val="20"/>
        </w:rPr>
      </w:pPr>
      <w:r>
        <w:rPr>
          <w:noProof/>
        </w:rPr>
        <mc:AlternateContent>
          <mc:Choice Requires="wps">
            <w:drawing>
              <wp:anchor distT="0" distB="0" distL="114300" distR="114300" simplePos="0" relativeHeight="251660288" behindDoc="0" locked="0" layoutInCell="1" allowOverlap="1" wp14:anchorId="49458B9E" wp14:editId="4AD10927">
                <wp:simplePos x="0" y="0"/>
                <wp:positionH relativeFrom="column">
                  <wp:posOffset>-876300</wp:posOffset>
                </wp:positionH>
                <wp:positionV relativeFrom="paragraph">
                  <wp:posOffset>18415</wp:posOffset>
                </wp:positionV>
                <wp:extent cx="7312660" cy="1215389"/>
                <wp:effectExtent l="0" t="0" r="0" b="0"/>
                <wp:wrapNone/>
                <wp:docPr id="151" name="Rectangle 1"/>
                <wp:cNvGraphicFramePr/>
                <a:graphic xmlns:a="http://schemas.openxmlformats.org/drawingml/2006/main">
                  <a:graphicData uri="http://schemas.microsoft.com/office/word/2010/wordprocessingShape">
                    <wps:wsp>
                      <wps:cNvSpPr/>
                      <wps:spPr>
                        <a:xfrm>
                          <a:off x="0" y="0"/>
                          <a:ext cx="7312660" cy="1215389"/>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CC652B" id="Rectangle 1" o:spid="_x0000_s1026" style="position:absolute;margin-left:-69pt;margin-top:1.45pt;width:575.8pt;height:95.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" stroked="f" strokeweight="2pt">
                <v:fill r:id="rId8" o:title="" recolor="t" rotate="t" type="frame"/>
              </v:rect>
            </w:pict>
          </mc:Fallback>
        </mc:AlternateContent>
      </w:r>
    </w:p>
    <w:p w14:paraId="11BF28A2" w14:textId="77777777" w:rsidR="00B3335E" w:rsidRDefault="00B3335E">
      <w:pPr>
        <w:pStyle w:val="BodyText"/>
        <w:rPr>
          <w:rFonts w:ascii="Times New Roman"/>
          <w:sz w:val="20"/>
        </w:rPr>
      </w:pPr>
    </w:p>
    <w:p w14:paraId="6D8681A7" w14:textId="77777777" w:rsidR="00B3335E" w:rsidRDefault="00B3335E">
      <w:pPr>
        <w:pStyle w:val="BodyText"/>
        <w:rPr>
          <w:rFonts w:ascii="Times New Roman"/>
          <w:sz w:val="20"/>
        </w:rPr>
      </w:pPr>
    </w:p>
    <w:p w14:paraId="5C28CEDA" w14:textId="77777777" w:rsidR="00B3335E" w:rsidRDefault="00B3335E">
      <w:pPr>
        <w:pStyle w:val="BodyText"/>
        <w:rPr>
          <w:rFonts w:ascii="Times New Roman"/>
          <w:sz w:val="20"/>
        </w:rPr>
      </w:pPr>
    </w:p>
    <w:p w14:paraId="24946813" w14:textId="77777777" w:rsidR="00B3335E" w:rsidRDefault="00B3335E">
      <w:pPr>
        <w:pStyle w:val="BodyText"/>
        <w:rPr>
          <w:rFonts w:ascii="Times New Roman"/>
          <w:sz w:val="20"/>
        </w:rPr>
      </w:pPr>
    </w:p>
    <w:p w14:paraId="6C696370" w14:textId="77777777" w:rsidR="00B3335E" w:rsidRDefault="00B3335E">
      <w:pPr>
        <w:pStyle w:val="BodyText"/>
        <w:rPr>
          <w:rFonts w:ascii="Times New Roman"/>
          <w:sz w:val="20"/>
        </w:rPr>
      </w:pPr>
    </w:p>
    <w:p w14:paraId="2218A4EB" w14:textId="77777777" w:rsidR="00B3335E" w:rsidRDefault="00B3335E">
      <w:pPr>
        <w:pStyle w:val="BodyText"/>
        <w:rPr>
          <w:rFonts w:ascii="Times New Roman"/>
          <w:sz w:val="20"/>
        </w:rPr>
      </w:pPr>
    </w:p>
    <w:p w14:paraId="267B8E22" w14:textId="77777777" w:rsidR="00B3335E" w:rsidRDefault="00B3335E">
      <w:pPr>
        <w:pStyle w:val="BodyText"/>
        <w:rPr>
          <w:rFonts w:ascii="Times New Roman"/>
          <w:sz w:val="20"/>
        </w:rPr>
      </w:pPr>
    </w:p>
    <w:p w14:paraId="6D08821E" w14:textId="77777777" w:rsidR="00B3335E" w:rsidRDefault="00B3335E">
      <w:pPr>
        <w:pStyle w:val="BodyText"/>
        <w:rPr>
          <w:rFonts w:ascii="Times New Roman"/>
          <w:sz w:val="20"/>
        </w:rPr>
      </w:pPr>
    </w:p>
    <w:p w14:paraId="7A74BBF2" w14:textId="77777777" w:rsidR="00B3335E" w:rsidRDefault="00B3335E">
      <w:pPr>
        <w:pStyle w:val="BodyText"/>
        <w:rPr>
          <w:rFonts w:ascii="Times New Roman"/>
          <w:sz w:val="20"/>
        </w:rPr>
      </w:pPr>
    </w:p>
    <w:p w14:paraId="6B5B2746" w14:textId="77777777" w:rsidR="00B3335E" w:rsidRDefault="00B3335E">
      <w:pPr>
        <w:pStyle w:val="BodyText"/>
        <w:rPr>
          <w:rFonts w:ascii="Times New Roman"/>
          <w:sz w:val="20"/>
        </w:rPr>
      </w:pPr>
    </w:p>
    <w:p w14:paraId="22FEAC15" w14:textId="77777777" w:rsidR="00B3335E" w:rsidRDefault="00B3335E">
      <w:pPr>
        <w:pStyle w:val="BodyText"/>
        <w:rPr>
          <w:rFonts w:ascii="Times New Roman"/>
          <w:sz w:val="20"/>
        </w:rPr>
      </w:pPr>
    </w:p>
    <w:p w14:paraId="1F1C5AA7" w14:textId="77777777" w:rsidR="00B3335E" w:rsidRDefault="00B3335E">
      <w:pPr>
        <w:pStyle w:val="BodyText"/>
        <w:rPr>
          <w:rFonts w:ascii="Times New Roman"/>
          <w:sz w:val="20"/>
        </w:rPr>
      </w:pPr>
    </w:p>
    <w:p w14:paraId="1DCE74EA" w14:textId="77777777" w:rsidR="00B3335E" w:rsidRDefault="00B3335E">
      <w:pPr>
        <w:pStyle w:val="BodyText"/>
        <w:rPr>
          <w:rFonts w:ascii="Times New Roman"/>
          <w:sz w:val="20"/>
        </w:rPr>
      </w:pPr>
    </w:p>
    <w:p w14:paraId="1467E9FC" w14:textId="77777777" w:rsidR="00B3335E" w:rsidRDefault="00B3335E">
      <w:pPr>
        <w:pStyle w:val="BodyText"/>
        <w:rPr>
          <w:rFonts w:ascii="Times New Roman"/>
          <w:sz w:val="20"/>
        </w:rPr>
      </w:pPr>
    </w:p>
    <w:p w14:paraId="2D541C10" w14:textId="7B80DA63" w:rsidR="00B3335E" w:rsidRPr="009B5AD9" w:rsidRDefault="009B5AD9">
      <w:pPr>
        <w:pStyle w:val="BodyText"/>
        <w:rPr>
          <w:rFonts w:ascii="Times New Roman"/>
          <w:sz w:val="144"/>
          <w:szCs w:val="144"/>
        </w:rPr>
      </w:pPr>
      <w:r>
        <w:rPr>
          <w:rFonts w:ascii="Times New Roman"/>
          <w:noProof/>
          <w:sz w:val="144"/>
          <w:szCs w:val="144"/>
        </w:rPr>
        <w:t>SPSCC Apartment Housing Handbook</w:t>
      </w:r>
    </w:p>
    <w:p w14:paraId="0EC557B9" w14:textId="6208FEE8" w:rsidR="00B3335E" w:rsidRDefault="00B3335E">
      <w:pPr>
        <w:pStyle w:val="BodyText"/>
        <w:rPr>
          <w:rFonts w:ascii="Times New Roman"/>
          <w:sz w:val="28"/>
        </w:rPr>
      </w:pPr>
    </w:p>
    <w:p w14:paraId="43C319BE" w14:textId="183E1521" w:rsidR="00B3335E" w:rsidRDefault="00B3335E">
      <w:pPr>
        <w:pStyle w:val="BodyText"/>
        <w:rPr>
          <w:rFonts w:ascii="Times New Roman"/>
          <w:sz w:val="28"/>
        </w:rPr>
      </w:pPr>
    </w:p>
    <w:p w14:paraId="2EBF5714" w14:textId="6943D950" w:rsidR="00B3335E" w:rsidRDefault="00B3335E">
      <w:pPr>
        <w:pStyle w:val="BodyText"/>
        <w:rPr>
          <w:rFonts w:ascii="Times New Roman"/>
          <w:sz w:val="28"/>
        </w:rPr>
      </w:pPr>
    </w:p>
    <w:p w14:paraId="7D7C77EC" w14:textId="7A6D79A9" w:rsidR="00B3335E" w:rsidRDefault="00B3335E">
      <w:pPr>
        <w:pStyle w:val="BodyText"/>
        <w:rPr>
          <w:rFonts w:ascii="Times New Roman"/>
          <w:sz w:val="28"/>
        </w:rPr>
      </w:pPr>
    </w:p>
    <w:p w14:paraId="2B119AE3" w14:textId="54E13C02" w:rsidR="00B3335E" w:rsidRDefault="009B5AD9">
      <w:pPr>
        <w:pStyle w:val="BodyText"/>
        <w:spacing w:before="232"/>
        <w:rPr>
          <w:rFonts w:ascii="Times New Roman"/>
          <w:sz w:val="28"/>
        </w:rPr>
      </w:pPr>
      <w:r>
        <w:rPr>
          <w:noProof/>
        </w:rPr>
        <w:drawing>
          <wp:anchor distT="0" distB="0" distL="114300" distR="114300" simplePos="0" relativeHeight="251657216" behindDoc="0" locked="0" layoutInCell="1" allowOverlap="1" wp14:anchorId="4FAB2AA0" wp14:editId="2250D1C5">
            <wp:simplePos x="0" y="0"/>
            <wp:positionH relativeFrom="column">
              <wp:posOffset>-378460</wp:posOffset>
            </wp:positionH>
            <wp:positionV relativeFrom="paragraph">
              <wp:posOffset>320675</wp:posOffset>
            </wp:positionV>
            <wp:extent cx="6326505" cy="1368022"/>
            <wp:effectExtent l="0" t="0" r="0" b="3810"/>
            <wp:wrapNone/>
            <wp:docPr id="2138957986" name="Picture 2138957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SCC-with-brand-centered.png"/>
                    <pic:cNvPicPr/>
                  </pic:nvPicPr>
                  <pic:blipFill>
                    <a:blip r:embed="rId9">
                      <a:extLst>
                        <a:ext uri="{28A0092B-C50C-407E-A947-70E740481C1C}">
                          <a14:useLocalDpi xmlns:a14="http://schemas.microsoft.com/office/drawing/2010/main" val="0"/>
                        </a:ext>
                      </a:extLst>
                    </a:blip>
                    <a:stretch>
                      <a:fillRect/>
                    </a:stretch>
                  </pic:blipFill>
                  <pic:spPr>
                    <a:xfrm>
                      <a:off x="0" y="0"/>
                      <a:ext cx="6326505" cy="1368022"/>
                    </a:xfrm>
                    <a:prstGeom prst="rect">
                      <a:avLst/>
                    </a:prstGeom>
                  </pic:spPr>
                </pic:pic>
              </a:graphicData>
            </a:graphic>
            <wp14:sizeRelH relativeFrom="margin">
              <wp14:pctWidth>0</wp14:pctWidth>
            </wp14:sizeRelH>
            <wp14:sizeRelV relativeFrom="margin">
              <wp14:pctHeight>0</wp14:pctHeight>
            </wp14:sizeRelV>
          </wp:anchor>
        </w:drawing>
      </w:r>
    </w:p>
    <w:p w14:paraId="7ED74772" w14:textId="6AE9B6EA" w:rsidR="00B3335E" w:rsidRDefault="00B3335E">
      <w:pPr>
        <w:spacing w:line="481" w:lineRule="exact"/>
        <w:jc w:val="center"/>
        <w:rPr>
          <w:sz w:val="43"/>
        </w:rPr>
        <w:sectPr w:rsidR="00B3335E">
          <w:footerReference w:type="even" r:id="rId10"/>
          <w:type w:val="continuous"/>
          <w:pgSz w:w="12100" w:h="15690"/>
          <w:pgMar w:top="240" w:right="580" w:bottom="280" w:left="1660" w:header="0" w:footer="0" w:gutter="0"/>
          <w:pgNumType w:start="0"/>
          <w:cols w:space="720"/>
        </w:sectPr>
      </w:pPr>
    </w:p>
    <w:p w14:paraId="5EFD7A69"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lastRenderedPageBreak/>
        <w:t>WELCOME TO SPSCC APARTMENT HOUSING</w:t>
      </w:r>
    </w:p>
    <w:p w14:paraId="3D4DE729"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Welcome to SPSCC Apartment Housing! This Handbook is a resource guide to answer many of your questions about living in the SPSCC student housing apartment program and support your success as a student resident. We encourage you to be familiar with and understand the information in this handbook, and welcome questions to help you have a good student housing experience.</w:t>
      </w:r>
    </w:p>
    <w:p w14:paraId="70A9E1A3"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The SPSCC Housing Team is located on campus in Building 27, Student Union Building, on the 2nd Floor.</w:t>
      </w:r>
    </w:p>
    <w:p w14:paraId="669FB3ED" w14:textId="08E37B5F" w:rsidR="00B3335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Students have a responsibility to conduct themselves in a manner that does not impair the welfare or educational opportunities of others, and are expected to act as responsible members of the apartment community and of SPSCC.</w:t>
      </w:r>
    </w:p>
    <w:p w14:paraId="23D0C3C5" w14:textId="77777777" w:rsidR="009B5AD9" w:rsidRDefault="009B5AD9" w:rsidP="009B5AD9">
      <w:pPr>
        <w:spacing w:after="160" w:line="259" w:lineRule="auto"/>
        <w:rPr>
          <w:rFonts w:asciiTheme="minorHAnsi" w:hAnsiTheme="minorHAnsi" w:cstheme="minorHAnsi"/>
          <w:sz w:val="28"/>
          <w:szCs w:val="28"/>
        </w:rPr>
      </w:pPr>
    </w:p>
    <w:p w14:paraId="42705089" w14:textId="6941FE97" w:rsidR="009B5AD9" w:rsidRPr="009B5AD9" w:rsidRDefault="009B5AD9" w:rsidP="009B5AD9">
      <w:pPr>
        <w:spacing w:after="160" w:line="259" w:lineRule="auto"/>
        <w:rPr>
          <w:rFonts w:asciiTheme="minorHAnsi" w:hAnsiTheme="minorHAnsi" w:cstheme="minorHAnsi"/>
          <w:b/>
          <w:bCs/>
          <w:sz w:val="28"/>
          <w:szCs w:val="28"/>
        </w:rPr>
      </w:pPr>
      <w:r w:rsidRPr="009B5AD9">
        <w:rPr>
          <w:rFonts w:asciiTheme="minorHAnsi" w:hAnsiTheme="minorHAnsi" w:cstheme="minorHAnsi"/>
          <w:b/>
          <w:bCs/>
          <w:sz w:val="28"/>
          <w:szCs w:val="28"/>
        </w:rPr>
        <w:t>CONTACT INFORMATION</w:t>
      </w:r>
    </w:p>
    <w:p w14:paraId="69CE7C19" w14:textId="77777777" w:rsidR="009B5AD9" w:rsidRPr="009B5AD9" w:rsidRDefault="009B5AD9" w:rsidP="009B5AD9">
      <w:pPr>
        <w:pStyle w:val="ListParagraph"/>
        <w:numPr>
          <w:ilvl w:val="0"/>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Breckenridge Heights Apartment Management Office</w:t>
      </w:r>
    </w:p>
    <w:p w14:paraId="7B143825" w14:textId="11253FCD" w:rsidR="009B5AD9" w:rsidRPr="009B5AD9" w:rsidRDefault="009B5AD9" w:rsidP="009B5AD9">
      <w:pPr>
        <w:pStyle w:val="ListParagraph"/>
        <w:numPr>
          <w:ilvl w:val="1"/>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 xml:space="preserve">Emergency Maintenance: 360--870-2314 </w:t>
      </w:r>
    </w:p>
    <w:p w14:paraId="1955EC0F" w14:textId="104DC974" w:rsidR="009B5AD9" w:rsidRPr="009B5AD9" w:rsidRDefault="009B5AD9" w:rsidP="009B5AD9">
      <w:pPr>
        <w:pStyle w:val="ListParagraph"/>
        <w:numPr>
          <w:ilvl w:val="0"/>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 xml:space="preserve">Crossroads on Crosby Apartment Management </w:t>
      </w:r>
    </w:p>
    <w:p w14:paraId="70B1D50C" w14:textId="49E1421B" w:rsidR="009B5AD9" w:rsidRPr="009B5AD9" w:rsidRDefault="009B5AD9" w:rsidP="009B5AD9">
      <w:pPr>
        <w:pStyle w:val="ListParagraph"/>
        <w:numPr>
          <w:ilvl w:val="1"/>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Emergency Maintenance: (360) 489.6475</w:t>
      </w:r>
    </w:p>
    <w:p w14:paraId="71473008" w14:textId="77777777" w:rsidR="009B5AD9" w:rsidRPr="009B5AD9" w:rsidRDefault="009B5AD9" w:rsidP="009B5AD9">
      <w:pPr>
        <w:pStyle w:val="ListParagraph"/>
        <w:numPr>
          <w:ilvl w:val="0"/>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The Hub Apartment Management Office</w:t>
      </w:r>
    </w:p>
    <w:p w14:paraId="530A9AB7" w14:textId="678E514E" w:rsidR="009B5AD9" w:rsidRPr="009B5AD9" w:rsidRDefault="009B5AD9" w:rsidP="009B5AD9">
      <w:pPr>
        <w:pStyle w:val="ListParagraph"/>
        <w:numPr>
          <w:ilvl w:val="1"/>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Emergency Maintenanc</w:t>
      </w:r>
      <w:r>
        <w:rPr>
          <w:rFonts w:asciiTheme="minorHAnsi" w:hAnsiTheme="minorHAnsi" w:cstheme="minorHAnsi"/>
          <w:sz w:val="28"/>
          <w:szCs w:val="28"/>
        </w:rPr>
        <w:t>e</w:t>
      </w:r>
      <w:r w:rsidRPr="009B5AD9">
        <w:rPr>
          <w:rFonts w:asciiTheme="minorHAnsi" w:hAnsiTheme="minorHAnsi" w:cstheme="minorHAnsi"/>
          <w:sz w:val="28"/>
          <w:szCs w:val="28"/>
        </w:rPr>
        <w:t>: 360-285-3041</w:t>
      </w:r>
    </w:p>
    <w:p w14:paraId="58DE4967" w14:textId="77777777" w:rsidR="009B5AD9" w:rsidRPr="009B5AD9" w:rsidRDefault="009B5AD9" w:rsidP="009B5AD9">
      <w:pPr>
        <w:pStyle w:val="ListParagraph"/>
        <w:numPr>
          <w:ilvl w:val="0"/>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SPSCC Housing Staff</w:t>
      </w:r>
    </w:p>
    <w:p w14:paraId="22B3FC81" w14:textId="77777777" w:rsidR="009B5AD9" w:rsidRPr="009B5AD9" w:rsidRDefault="009B5AD9" w:rsidP="009B5AD9">
      <w:pPr>
        <w:pStyle w:val="ListParagraph"/>
        <w:numPr>
          <w:ilvl w:val="1"/>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 xml:space="preserve">Director of Student Housing and Personal Support Services </w:t>
      </w:r>
    </w:p>
    <w:p w14:paraId="534200FE" w14:textId="262CE0AC" w:rsidR="009B5AD9" w:rsidRPr="009B5AD9" w:rsidRDefault="009B5AD9" w:rsidP="009B5AD9">
      <w:pPr>
        <w:pStyle w:val="ListParagraph"/>
        <w:numPr>
          <w:ilvl w:val="2"/>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 xml:space="preserve">Justin Majors, mmajors@spscc.edu </w:t>
      </w:r>
    </w:p>
    <w:p w14:paraId="5E4BFC9E" w14:textId="77777777" w:rsidR="009B5AD9" w:rsidRPr="009B5AD9" w:rsidRDefault="009B5AD9" w:rsidP="009B5AD9">
      <w:pPr>
        <w:pStyle w:val="ListParagraph"/>
        <w:numPr>
          <w:ilvl w:val="1"/>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 xml:space="preserve">Dean of Student Engagement &amp; Retention </w:t>
      </w:r>
    </w:p>
    <w:p w14:paraId="62B2D5F9" w14:textId="6DEAA86B" w:rsidR="009B5AD9" w:rsidRPr="009B5AD9" w:rsidRDefault="009B5AD9" w:rsidP="009B5AD9">
      <w:pPr>
        <w:pStyle w:val="ListParagraph"/>
        <w:numPr>
          <w:ilvl w:val="2"/>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Jen Manley, jmanley@spscc.edu</w:t>
      </w:r>
    </w:p>
    <w:p w14:paraId="6211D36E" w14:textId="0B44CF63" w:rsidR="009B5AD9" w:rsidRPr="009B5AD9" w:rsidRDefault="009B5AD9" w:rsidP="009B5AD9">
      <w:pPr>
        <w:pStyle w:val="ListParagraph"/>
        <w:numPr>
          <w:ilvl w:val="0"/>
          <w:numId w:val="2"/>
        </w:numPr>
        <w:spacing w:after="160" w:line="259" w:lineRule="auto"/>
        <w:rPr>
          <w:rFonts w:asciiTheme="minorHAnsi" w:hAnsiTheme="minorHAnsi" w:cstheme="minorHAnsi"/>
          <w:sz w:val="28"/>
          <w:szCs w:val="28"/>
        </w:rPr>
      </w:pPr>
      <w:r w:rsidRPr="009B5AD9">
        <w:rPr>
          <w:rFonts w:asciiTheme="minorHAnsi" w:hAnsiTheme="minorHAnsi" w:cstheme="minorHAnsi"/>
          <w:sz w:val="28"/>
          <w:szCs w:val="28"/>
        </w:rPr>
        <w:t>SPSCC Campus Security</w:t>
      </w:r>
    </w:p>
    <w:p w14:paraId="228A3C7C" w14:textId="4B38373A" w:rsidR="009B5AD9" w:rsidRPr="009B5AD9" w:rsidRDefault="009B5AD9" w:rsidP="009B5AD9">
      <w:pPr>
        <w:pStyle w:val="ListParagraph"/>
        <w:numPr>
          <w:ilvl w:val="1"/>
          <w:numId w:val="2"/>
        </w:numPr>
        <w:spacing w:after="160" w:line="259" w:lineRule="auto"/>
        <w:rPr>
          <w:rFonts w:asciiTheme="minorHAnsi" w:hAnsiTheme="minorHAnsi" w:cstheme="minorHAnsi"/>
          <w:sz w:val="28"/>
          <w:szCs w:val="28"/>
        </w:rPr>
      </w:pPr>
      <w:r>
        <w:rPr>
          <w:rFonts w:asciiTheme="minorHAnsi" w:hAnsiTheme="minorHAnsi" w:cstheme="minorHAnsi"/>
          <w:sz w:val="28"/>
          <w:szCs w:val="28"/>
        </w:rPr>
        <w:t xml:space="preserve">Phone: </w:t>
      </w:r>
      <w:r w:rsidRPr="009B5AD9">
        <w:rPr>
          <w:rFonts w:asciiTheme="minorHAnsi" w:hAnsiTheme="minorHAnsi" w:cstheme="minorHAnsi"/>
          <w:sz w:val="28"/>
          <w:szCs w:val="28"/>
        </w:rPr>
        <w:t>360-596-5299</w:t>
      </w:r>
    </w:p>
    <w:p w14:paraId="17C676C6" w14:textId="77777777" w:rsidR="00B3335E" w:rsidRDefault="00B3335E">
      <w:pPr>
        <w:pStyle w:val="BodyText"/>
        <w:rPr>
          <w:sz w:val="21"/>
        </w:rPr>
      </w:pPr>
    </w:p>
    <w:p w14:paraId="33C73E15" w14:textId="77777777" w:rsidR="00B3335E" w:rsidRDefault="00B3335E">
      <w:pPr>
        <w:pStyle w:val="BodyText"/>
        <w:rPr>
          <w:sz w:val="21"/>
        </w:rPr>
      </w:pPr>
    </w:p>
    <w:p w14:paraId="7DA56F49" w14:textId="77777777" w:rsidR="00B3335E" w:rsidRDefault="00B3335E">
      <w:pPr>
        <w:pStyle w:val="BodyText"/>
        <w:rPr>
          <w:sz w:val="21"/>
        </w:rPr>
      </w:pPr>
    </w:p>
    <w:p w14:paraId="4EAB448C" w14:textId="77777777" w:rsidR="00B3335E" w:rsidRDefault="00B3335E">
      <w:pPr>
        <w:pStyle w:val="BodyText"/>
        <w:spacing w:before="71"/>
        <w:rPr>
          <w:sz w:val="21"/>
        </w:rPr>
      </w:pPr>
    </w:p>
    <w:p w14:paraId="1B71809C" w14:textId="77777777" w:rsidR="00B3335E" w:rsidRDefault="002E7529">
      <w:pPr>
        <w:ind w:right="117"/>
        <w:jc w:val="right"/>
        <w:rPr>
          <w:rFonts w:ascii="Times New Roman"/>
          <w:sz w:val="18"/>
        </w:rPr>
      </w:pPr>
      <w:r>
        <w:rPr>
          <w:rFonts w:ascii="Times New Roman"/>
          <w:spacing w:val="-10"/>
          <w:sz w:val="18"/>
        </w:rPr>
        <w:t>1</w:t>
      </w:r>
    </w:p>
    <w:p w14:paraId="6C5F9AAA" w14:textId="77777777" w:rsidR="00B3335E" w:rsidRDefault="00B3335E">
      <w:pPr>
        <w:jc w:val="right"/>
        <w:rPr>
          <w:rFonts w:ascii="Times New Roman"/>
          <w:sz w:val="18"/>
        </w:rPr>
        <w:sectPr w:rsidR="00B3335E">
          <w:pgSz w:w="12100" w:h="15690"/>
          <w:pgMar w:top="780" w:right="1100" w:bottom="280" w:left="1400" w:header="0" w:footer="0" w:gutter="0"/>
          <w:cols w:space="720"/>
        </w:sectPr>
      </w:pPr>
    </w:p>
    <w:p w14:paraId="2E983559"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lastRenderedPageBreak/>
        <w:t>EMERGENCY INFORMATION</w:t>
      </w:r>
    </w:p>
    <w:p w14:paraId="2043627D"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An emergency is any incident that has a high potential for causing harm to a person or property. In an emergency, call 9-1-1</w:t>
      </w:r>
      <w:r>
        <w:rPr>
          <w:rFonts w:asciiTheme="minorHAnsi" w:hAnsiTheme="minorHAnsi" w:cstheme="minorHAnsi"/>
          <w:sz w:val="28"/>
          <w:szCs w:val="28"/>
        </w:rPr>
        <w:t xml:space="preserve"> or Campus Security, </w:t>
      </w:r>
      <w:r w:rsidRPr="00C25DFD">
        <w:rPr>
          <w:rFonts w:asciiTheme="minorHAnsi" w:hAnsiTheme="minorHAnsi" w:cstheme="minorHAnsi"/>
          <w:sz w:val="28"/>
          <w:szCs w:val="28"/>
        </w:rPr>
        <w:t>360-596-5299. Emergencies include car break-in, physical assault, serious injury, harm to self or others, fire, or any other life-threatening situation.</w:t>
      </w:r>
    </w:p>
    <w:p w14:paraId="54261001"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Residents are encouraged to report any unsafe behavior to the apartment complex staff.</w:t>
      </w:r>
    </w:p>
    <w:p w14:paraId="5340D1DA"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Always…</w:t>
      </w:r>
      <w:r w:rsidRPr="00C25DFD">
        <w:rPr>
          <w:rFonts w:asciiTheme="minorHAnsi" w:hAnsiTheme="minorHAnsi" w:cstheme="minorHAnsi"/>
          <w:sz w:val="28"/>
          <w:szCs w:val="28"/>
        </w:rPr>
        <w:br/>
        <w:t>• Keep doors and windows locked when you’re not home.</w:t>
      </w:r>
      <w:r w:rsidRPr="00C25DFD">
        <w:rPr>
          <w:rFonts w:asciiTheme="minorHAnsi" w:hAnsiTheme="minorHAnsi" w:cstheme="minorHAnsi"/>
          <w:sz w:val="28"/>
          <w:szCs w:val="28"/>
        </w:rPr>
        <w:br/>
        <w:t>• Find a walking buddy; there is safety in numbers.</w:t>
      </w:r>
      <w:r w:rsidRPr="00C25DFD">
        <w:rPr>
          <w:rFonts w:asciiTheme="minorHAnsi" w:hAnsiTheme="minorHAnsi" w:cstheme="minorHAnsi"/>
          <w:sz w:val="28"/>
          <w:szCs w:val="28"/>
        </w:rPr>
        <w:br/>
        <w:t>• Carry a flashlight; public pathways are lit but having a flashlight with you helps.</w:t>
      </w:r>
      <w:r w:rsidRPr="00C25DFD">
        <w:rPr>
          <w:rFonts w:asciiTheme="minorHAnsi" w:hAnsiTheme="minorHAnsi" w:cstheme="minorHAnsi"/>
          <w:sz w:val="28"/>
          <w:szCs w:val="28"/>
        </w:rPr>
        <w:br/>
        <w:t>• Register for SPSCC Omni-Alert Emergency Notification to receive campus information.</w:t>
      </w:r>
    </w:p>
    <w:p w14:paraId="78BF69B7"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ELIGIBILITY</w:t>
      </w:r>
    </w:p>
    <w:p w14:paraId="6247834B"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SPSCC Student Housing offers accommodations exclusively to students at South Puget Sound Community College (SPSCC) throughout the academic year (</w:t>
      </w:r>
      <w:proofErr w:type="gramStart"/>
      <w:r w:rsidRPr="00C25DFD">
        <w:rPr>
          <w:rFonts w:asciiTheme="minorHAnsi" w:hAnsiTheme="minorHAnsi" w:cstheme="minorHAnsi"/>
          <w:sz w:val="28"/>
          <w:szCs w:val="28"/>
        </w:rPr>
        <w:t>Fall</w:t>
      </w:r>
      <w:proofErr w:type="gramEnd"/>
      <w:r w:rsidRPr="00C25DFD">
        <w:rPr>
          <w:rFonts w:asciiTheme="minorHAnsi" w:hAnsiTheme="minorHAnsi" w:cstheme="minorHAnsi"/>
          <w:sz w:val="28"/>
          <w:szCs w:val="28"/>
        </w:rPr>
        <w:t>, Winter, Spring, and Summer quarters). Students must remain registered in at least 12 credits during the Fall, Winter, and Spring quarters and must be in good standing with the College. SPSCC Student Housing program does not offer housing to families or domestic partners. Additionally, residents must be 18 years of age or turning 18 within their first quarter living in SPSCC Student Housing and will require a parent or guardian signature for the contract rental agreement.</w:t>
      </w:r>
    </w:p>
    <w:p w14:paraId="6C84D126" w14:textId="77777777" w:rsidR="009B5AD9"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In the event that SPSCC Student Housing does not have available spaces, qualified students who have applied will be notified of their status and will be placed on a waiting list.</w:t>
      </w:r>
    </w:p>
    <w:p w14:paraId="3E589724" w14:textId="77777777" w:rsidR="009B5AD9" w:rsidRPr="006D006E" w:rsidRDefault="009B5AD9" w:rsidP="009B5AD9">
      <w:pPr>
        <w:spacing w:after="160" w:line="259" w:lineRule="auto"/>
        <w:rPr>
          <w:rFonts w:asciiTheme="minorHAnsi" w:hAnsiTheme="minorHAnsi" w:cstheme="minorHAnsi"/>
          <w:sz w:val="28"/>
          <w:szCs w:val="28"/>
        </w:rPr>
      </w:pPr>
      <w:r w:rsidRPr="007C68C9">
        <w:rPr>
          <w:rFonts w:asciiTheme="minorHAnsi" w:hAnsiTheme="minorHAnsi" w:cstheme="minorHAnsi"/>
          <w:b/>
          <w:bCs/>
          <w:sz w:val="32"/>
          <w:szCs w:val="32"/>
        </w:rPr>
        <w:t>HOUSING DEPOSIT REQUIREMENTS</w:t>
      </w:r>
    </w:p>
    <w:p w14:paraId="67AB0F20"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Residents are required to maintain a housing deposit on file throughout their time in SPSCC Student Housing. The standard housing deposit is $950. For returning or renewing Residents, at least $300 must be re-established on file before the start of a new lease term to maintain deposit coverage for cleaning, maintenance, and damages.</w:t>
      </w:r>
    </w:p>
    <w:p w14:paraId="287030AB"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 xml:space="preserve">Any previously refunded deposit amounts will not automatically carry forward to a </w:t>
      </w:r>
      <w:r w:rsidRPr="00C25DFD">
        <w:rPr>
          <w:rFonts w:asciiTheme="minorHAnsi" w:hAnsiTheme="minorHAnsi" w:cstheme="minorHAnsi"/>
          <w:sz w:val="28"/>
          <w:szCs w:val="28"/>
        </w:rPr>
        <w:lastRenderedPageBreak/>
        <w:t>new lease term. Failure to maintain the required deposit may result in delayed housing placement or cancellation of housing placement.</w:t>
      </w:r>
    </w:p>
    <w:p w14:paraId="7307D521"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CONDUCT</w:t>
      </w:r>
    </w:p>
    <w:p w14:paraId="0E8837FF"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 xml:space="preserve">Residents living in SPSCC Student Housing are required to adhere to SPSCC’s Code of Student Rights and Responsibilities while on campus and in SPSCC Student Housing. Any student found to have committed or to have attempted to commit any of the violations outlined in section 132X-60-090 of the SPSCC Code of Student Rights and Responsibilities on college owned or controlled property or at college-sponsored or supervised functions is subject to the disciplinary sanctions outlined in WAC 132X-60-120. For more information, please visit </w:t>
      </w:r>
      <w:hyperlink r:id="rId11" w:tgtFrame="_new" w:history="1">
        <w:r w:rsidRPr="00C25DFD">
          <w:rPr>
            <w:rStyle w:val="Hyperlink"/>
            <w:rFonts w:asciiTheme="minorHAnsi" w:hAnsiTheme="minorHAnsi" w:cstheme="minorHAnsi"/>
            <w:sz w:val="28"/>
            <w:szCs w:val="28"/>
          </w:rPr>
          <w:t>https://spscc.edu/sites/default/files/imce/students/Code-of-Student-Rights.pdf</w:t>
        </w:r>
      </w:hyperlink>
      <w:r w:rsidRPr="00C25DFD">
        <w:rPr>
          <w:rFonts w:asciiTheme="minorHAnsi" w:hAnsiTheme="minorHAnsi" w:cstheme="minorHAnsi"/>
          <w:sz w:val="28"/>
          <w:szCs w:val="28"/>
        </w:rPr>
        <w:t>.</w:t>
      </w:r>
    </w:p>
    <w:p w14:paraId="1AD8DF6C"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SPSCC expects each student to be a responsible member of the academic community; thus, when a student enrolls at SPSCC, they likewise assume the obligation to observe the standards of conduct that are appropriate to the pursuit of academic goals. The student has an obligation to maintain high standards of academic and professional honesty and integrity, respect the rights, privileges and property of other members of the academic community and visitors to campus, refraining from actions that would interfere with the college’s functions or endanger the health, safety or welfare of others, and comply with the rules and regulations of the college.</w:t>
      </w:r>
    </w:p>
    <w:p w14:paraId="0CFFE50A" w14:textId="77777777" w:rsidR="009B5AD9" w:rsidRPr="00C25DFD" w:rsidRDefault="00DB10E5" w:rsidP="009B5AD9">
      <w:pPr>
        <w:spacing w:after="160" w:line="259" w:lineRule="auto"/>
        <w:rPr>
          <w:rFonts w:asciiTheme="minorHAnsi" w:hAnsiTheme="minorHAnsi" w:cstheme="minorHAnsi"/>
          <w:b/>
          <w:bCs/>
          <w:sz w:val="32"/>
          <w:szCs w:val="32"/>
        </w:rPr>
      </w:pPr>
      <w:r>
        <w:rPr>
          <w:rFonts w:asciiTheme="minorHAnsi" w:hAnsiTheme="minorHAnsi" w:cstheme="minorHAnsi"/>
          <w:b/>
          <w:bCs/>
          <w:sz w:val="32"/>
          <w:szCs w:val="32"/>
        </w:rPr>
        <w:pict w14:anchorId="52EE32DF">
          <v:rect id="_x0000_i1025" style="width:0;height:1.5pt" o:hralign="center" o:hrstd="t" o:hr="t" fillcolor="#a0a0a0" stroked="f"/>
        </w:pict>
      </w:r>
    </w:p>
    <w:p w14:paraId="500269F4" w14:textId="77777777" w:rsidR="009B5AD9" w:rsidRDefault="009B5AD9" w:rsidP="009B5AD9">
      <w:pPr>
        <w:spacing w:after="160" w:line="259" w:lineRule="auto"/>
        <w:rPr>
          <w:rFonts w:asciiTheme="minorHAnsi" w:hAnsiTheme="minorHAnsi" w:cstheme="minorHAnsi"/>
          <w:b/>
          <w:bCs/>
          <w:sz w:val="36"/>
          <w:szCs w:val="36"/>
        </w:rPr>
      </w:pPr>
      <w:r>
        <w:rPr>
          <w:rFonts w:asciiTheme="minorHAnsi" w:hAnsiTheme="minorHAnsi" w:cstheme="minorHAnsi"/>
          <w:b/>
          <w:bCs/>
          <w:sz w:val="36"/>
          <w:szCs w:val="36"/>
        </w:rPr>
        <w:br w:type="page"/>
      </w:r>
    </w:p>
    <w:p w14:paraId="07A78DC3" w14:textId="77777777" w:rsidR="009B5AD9" w:rsidRPr="00C25DFD" w:rsidRDefault="009B5AD9" w:rsidP="009B5AD9">
      <w:pPr>
        <w:spacing w:after="160" w:line="259" w:lineRule="auto"/>
        <w:rPr>
          <w:rFonts w:asciiTheme="minorHAnsi" w:hAnsiTheme="minorHAnsi" w:cstheme="minorHAnsi"/>
          <w:b/>
          <w:bCs/>
          <w:sz w:val="36"/>
          <w:szCs w:val="36"/>
        </w:rPr>
      </w:pPr>
      <w:r w:rsidRPr="00C25DFD">
        <w:rPr>
          <w:rFonts w:asciiTheme="minorHAnsi" w:hAnsiTheme="minorHAnsi" w:cstheme="minorHAnsi"/>
          <w:b/>
          <w:bCs/>
          <w:sz w:val="36"/>
          <w:szCs w:val="36"/>
        </w:rPr>
        <w:lastRenderedPageBreak/>
        <w:t>STUDENT APARTMENT HOUSING SERVICES</w:t>
      </w:r>
    </w:p>
    <w:p w14:paraId="41F61655"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INTERNET SERVICE</w:t>
      </w:r>
    </w:p>
    <w:p w14:paraId="18C37FF7"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WIFI internet is included in rental fees paid for and managed by SPSCC. Should equipment stop working correctly, please contact SPSCC Staff to resolve the issue in a timely manner. All equipment must stay with the unit and is not to be removed, replaced, or relocated.</w:t>
      </w:r>
    </w:p>
    <w:p w14:paraId="1F10EC57"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GARBAGE &amp; UTILITIES</w:t>
      </w:r>
    </w:p>
    <w:p w14:paraId="674795A0"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Water, sewer, garbage, and electricity are included in resident rental fees. Residents are expected to keep the premises in a clean and sanitary condition and adhere to the sanitation expectations in the lease. All garbage must be wrapped and all boxes crushed before being placed in the garbage container.</w:t>
      </w:r>
    </w:p>
    <w:p w14:paraId="40441B07"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Energy costs are the most expensive items in an apartment. Please help keep housing costs reasonable by conserving energy: set all room thermostats to 65 degrees Fahrenheit, close curtains when possible, and turn lights and other electrical appliances off when not in use.</w:t>
      </w:r>
    </w:p>
    <w:p w14:paraId="0FCDB7B5"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MAIL &amp; PACKAGE SERVICES</w:t>
      </w:r>
    </w:p>
    <w:p w14:paraId="620D5E43"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Each student apartment has an assigned postal mailbox and mail keys. For items too large to fit in the mailbox, the Breckenridge Heights Apartment staff will accept mail, packages and parcel deliveries in the rental office. The Breckenridge Management will notify students directly of any packages/deliveries by the postal carrier and/or delivery service. Packages can be claimed at the Management front Office and must be claimed within seven (7) days, or the staff may return any unclaimed packages. Your postal mailing address will be given to you at move in to include your unit number so that you can update your mailing address immediately.</w:t>
      </w:r>
    </w:p>
    <w:p w14:paraId="35E6236E"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MAINTENANCE REQUESTS</w:t>
      </w:r>
    </w:p>
    <w:p w14:paraId="58EA0CCC"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Prompt reporting of maintenance issues can often prevent problems that are more extensive. Residents will report any structural needs, repairs, or misuse of the apartment immediately.</w:t>
      </w:r>
    </w:p>
    <w:p w14:paraId="25F9E625"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Quick tips: Please do not paint the apartment. Use picture hooks to hang pictures and decorative items on the walls. No screws or large mounting devices please.</w:t>
      </w:r>
    </w:p>
    <w:p w14:paraId="7EFEF2D4"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lastRenderedPageBreak/>
        <w:t>All maintenance requests must be made with a work request available online via the Resident Portal on the Breckenridge Heights Apartments website. This includes leaking faucets, toilets, windows, fire hazards, and other defects in the apartment or appliances. Residents are expected to return the premises to the college in as good condition as it was found at the beginning of the lease; costs of repairs and replacements will be charged to the resident.</w:t>
      </w:r>
    </w:p>
    <w:p w14:paraId="15B6A39B"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APARTMENT KEYS</w:t>
      </w:r>
    </w:p>
    <w:p w14:paraId="1AAF3D10"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Each resident will receive a set of apartment keys at move-in. Keys are issued to apartment residents only. Do not duplicate any SPSCC apartment keys. As a resident, you are responsible for your keys and expected to lock doors and carry your key with you. Residents should never give their apartment keys to another person, including guests or other residents.</w:t>
      </w:r>
    </w:p>
    <w:p w14:paraId="4FC65ACA"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If you have lost your key(s), report the loss to SPSCC staff and Breckenridge Heights management to follow the apartment complex lost key procedures. The cost of key replacement will be charged to the resident.</w:t>
      </w:r>
    </w:p>
    <w:p w14:paraId="0795D845" w14:textId="77777777" w:rsidR="009B5AD9" w:rsidRPr="00C25DFD" w:rsidRDefault="00DB10E5" w:rsidP="009B5AD9">
      <w:pPr>
        <w:spacing w:after="160" w:line="259" w:lineRule="auto"/>
        <w:rPr>
          <w:rFonts w:asciiTheme="minorHAnsi" w:hAnsiTheme="minorHAnsi" w:cstheme="minorHAnsi"/>
          <w:b/>
          <w:bCs/>
          <w:sz w:val="32"/>
          <w:szCs w:val="32"/>
        </w:rPr>
      </w:pPr>
      <w:r>
        <w:rPr>
          <w:rFonts w:asciiTheme="minorHAnsi" w:hAnsiTheme="minorHAnsi" w:cstheme="minorHAnsi"/>
          <w:b/>
          <w:bCs/>
          <w:sz w:val="32"/>
          <w:szCs w:val="32"/>
        </w:rPr>
        <w:pict w14:anchorId="17228542">
          <v:rect id="_x0000_i1026" style="width:0;height:1.5pt" o:hralign="center" o:hrstd="t" o:hr="t" fillcolor="#a0a0a0" stroked="f"/>
        </w:pict>
      </w:r>
    </w:p>
    <w:p w14:paraId="1A967D3A" w14:textId="77777777" w:rsidR="009B5AD9" w:rsidRDefault="009B5AD9" w:rsidP="009B5AD9">
      <w:pPr>
        <w:spacing w:after="160" w:line="259" w:lineRule="auto"/>
        <w:rPr>
          <w:rFonts w:asciiTheme="minorHAnsi" w:hAnsiTheme="minorHAnsi" w:cstheme="minorHAnsi"/>
          <w:b/>
          <w:bCs/>
          <w:sz w:val="36"/>
          <w:szCs w:val="36"/>
        </w:rPr>
      </w:pPr>
      <w:r>
        <w:rPr>
          <w:rFonts w:asciiTheme="minorHAnsi" w:hAnsiTheme="minorHAnsi" w:cstheme="minorHAnsi"/>
          <w:b/>
          <w:bCs/>
          <w:sz w:val="36"/>
          <w:szCs w:val="36"/>
        </w:rPr>
        <w:br w:type="page"/>
      </w:r>
    </w:p>
    <w:p w14:paraId="1A4EC95A" w14:textId="77777777" w:rsidR="009B5AD9" w:rsidRPr="00C25DFD" w:rsidRDefault="009B5AD9" w:rsidP="009B5AD9">
      <w:pPr>
        <w:spacing w:after="160" w:line="259" w:lineRule="auto"/>
        <w:rPr>
          <w:rFonts w:asciiTheme="minorHAnsi" w:hAnsiTheme="minorHAnsi" w:cstheme="minorHAnsi"/>
          <w:b/>
          <w:bCs/>
          <w:sz w:val="36"/>
          <w:szCs w:val="36"/>
        </w:rPr>
      </w:pPr>
      <w:r w:rsidRPr="00C25DFD">
        <w:rPr>
          <w:rFonts w:asciiTheme="minorHAnsi" w:hAnsiTheme="minorHAnsi" w:cstheme="minorHAnsi"/>
          <w:b/>
          <w:bCs/>
          <w:sz w:val="36"/>
          <w:szCs w:val="36"/>
        </w:rPr>
        <w:lastRenderedPageBreak/>
        <w:t>STUDENT HOUSING POLICIES</w:t>
      </w:r>
    </w:p>
    <w:p w14:paraId="5B8F4CC6" w14:textId="77777777" w:rsidR="009B5AD9" w:rsidRPr="00C25DFD" w:rsidRDefault="009B5AD9" w:rsidP="009B5AD9">
      <w:pPr>
        <w:spacing w:after="160" w:line="259" w:lineRule="auto"/>
        <w:rPr>
          <w:rFonts w:asciiTheme="minorHAnsi" w:hAnsiTheme="minorHAnsi" w:cstheme="minorHAnsi"/>
          <w:b/>
          <w:bCs/>
          <w:sz w:val="32"/>
          <w:szCs w:val="32"/>
        </w:rPr>
      </w:pPr>
      <w:r w:rsidRPr="007C68C9">
        <w:rPr>
          <w:rFonts w:asciiTheme="minorHAnsi" w:hAnsiTheme="minorHAnsi" w:cstheme="minorHAnsi"/>
          <w:b/>
          <w:bCs/>
          <w:sz w:val="32"/>
          <w:szCs w:val="32"/>
        </w:rPr>
        <w:t>EARLY ARRIVAL AND LATE DEPARTURE</w:t>
      </w:r>
    </w:p>
    <w:p w14:paraId="238121EC"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Residents are not allowed to move into or stay in their apartment outside of their official lease dates unless they receive approval from SPSCC Housing. Requests for early arrival or late departure may be approved on a case-by-case basis depending on apartment readiness and staffing availability.</w:t>
      </w:r>
    </w:p>
    <w:p w14:paraId="2BFF13FB"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If approved, Residents will be charged a daily rate for each approved day before the official move-in date or after the official move-out date. Before an early arrival or late departure can be approved, Residents must complete all housing requirements, including required documentation, housing payments, and move-in or move-out scheduling. Unauthorized early occupancy or staying past the approved move-out date may result in removal from the apartment, additional housing charges, or referral to the student conduct process.</w:t>
      </w:r>
    </w:p>
    <w:p w14:paraId="73AE5554" w14:textId="77777777" w:rsidR="009B5AD9" w:rsidRPr="00C25DFD" w:rsidRDefault="009B5AD9" w:rsidP="009B5AD9">
      <w:pPr>
        <w:spacing w:after="160" w:line="259" w:lineRule="auto"/>
        <w:rPr>
          <w:rFonts w:asciiTheme="minorHAnsi" w:hAnsiTheme="minorHAnsi" w:cstheme="minorHAnsi"/>
          <w:b/>
          <w:bCs/>
          <w:sz w:val="32"/>
          <w:szCs w:val="32"/>
        </w:rPr>
      </w:pPr>
      <w:r w:rsidRPr="007C68C9">
        <w:rPr>
          <w:rFonts w:asciiTheme="minorHAnsi" w:hAnsiTheme="minorHAnsi" w:cstheme="minorHAnsi"/>
          <w:b/>
          <w:bCs/>
          <w:sz w:val="32"/>
          <w:szCs w:val="32"/>
        </w:rPr>
        <w:t>HOUSING REFUNDS</w:t>
      </w:r>
    </w:p>
    <w:p w14:paraId="020C6CDC"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Housing refunds follow the SPSCC tuition refund schedule and are not prorated outside of the timelines listed below.</w:t>
      </w:r>
    </w:p>
    <w:p w14:paraId="31B8D26B"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Refund Schedule:</w:t>
      </w:r>
      <w:r w:rsidRPr="00C25DFD">
        <w:rPr>
          <w:rFonts w:asciiTheme="minorHAnsi" w:hAnsiTheme="minorHAnsi" w:cstheme="minorHAnsi"/>
          <w:sz w:val="28"/>
          <w:szCs w:val="28"/>
        </w:rPr>
        <w:br/>
      </w:r>
      <w:r w:rsidRPr="00C25DFD">
        <w:rPr>
          <w:rFonts w:asciiTheme="minorHAnsi" w:hAnsiTheme="minorHAnsi" w:cstheme="minorHAnsi"/>
          <w:b/>
          <w:bCs/>
          <w:sz w:val="28"/>
          <w:szCs w:val="28"/>
        </w:rPr>
        <w:t>100% Refund</w:t>
      </w:r>
      <w:r w:rsidRPr="00C25DFD">
        <w:rPr>
          <w:rFonts w:asciiTheme="minorHAnsi" w:hAnsiTheme="minorHAnsi" w:cstheme="minorHAnsi"/>
          <w:sz w:val="28"/>
          <w:szCs w:val="28"/>
        </w:rPr>
        <w:t xml:space="preserve"> — Resident cancels and fully moves out prior to the start of the quarter or within five (5) business days of the first day of instruction.</w:t>
      </w:r>
      <w:r w:rsidRPr="00C25DFD">
        <w:rPr>
          <w:rFonts w:asciiTheme="minorHAnsi" w:hAnsiTheme="minorHAnsi" w:cstheme="minorHAnsi"/>
          <w:sz w:val="28"/>
          <w:szCs w:val="28"/>
        </w:rPr>
        <w:br/>
      </w:r>
      <w:r w:rsidRPr="00C25DFD">
        <w:rPr>
          <w:rFonts w:asciiTheme="minorHAnsi" w:hAnsiTheme="minorHAnsi" w:cstheme="minorHAnsi"/>
          <w:b/>
          <w:bCs/>
          <w:sz w:val="28"/>
          <w:szCs w:val="28"/>
        </w:rPr>
        <w:t>40% Refund</w:t>
      </w:r>
      <w:r w:rsidRPr="00C25DFD">
        <w:rPr>
          <w:rFonts w:asciiTheme="minorHAnsi" w:hAnsiTheme="minorHAnsi" w:cstheme="minorHAnsi"/>
          <w:sz w:val="28"/>
          <w:szCs w:val="28"/>
        </w:rPr>
        <w:t xml:space="preserve"> — Resident fully moves out within the first fifteen (15) instructional days of the quarter.</w:t>
      </w:r>
      <w:r w:rsidRPr="00C25DFD">
        <w:rPr>
          <w:rFonts w:asciiTheme="minorHAnsi" w:hAnsiTheme="minorHAnsi" w:cstheme="minorHAnsi"/>
          <w:sz w:val="28"/>
          <w:szCs w:val="28"/>
        </w:rPr>
        <w:br/>
      </w:r>
      <w:r w:rsidRPr="00C25DFD">
        <w:rPr>
          <w:rFonts w:asciiTheme="minorHAnsi" w:hAnsiTheme="minorHAnsi" w:cstheme="minorHAnsi"/>
          <w:b/>
          <w:bCs/>
          <w:sz w:val="28"/>
          <w:szCs w:val="28"/>
        </w:rPr>
        <w:t>No Refund</w:t>
      </w:r>
      <w:r w:rsidRPr="00C25DFD">
        <w:rPr>
          <w:rFonts w:asciiTheme="minorHAnsi" w:hAnsiTheme="minorHAnsi" w:cstheme="minorHAnsi"/>
          <w:sz w:val="28"/>
          <w:szCs w:val="28"/>
        </w:rPr>
        <w:t xml:space="preserve"> — Resident moves out after the fifteenth (15th) instructional day of the quarter.</w:t>
      </w:r>
    </w:p>
    <w:p w14:paraId="1A6D29F1"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 xml:space="preserve">Residents must complete the official move-out process to be eligible for any refund. All refunds are subject to completion of a formal move-out inspection and assessment of damages and charges before refund dispersal. Failure to properly complete the move-out process may result in </w:t>
      </w:r>
      <w:r>
        <w:rPr>
          <w:rFonts w:asciiTheme="minorHAnsi" w:hAnsiTheme="minorHAnsi" w:cstheme="minorHAnsi"/>
          <w:sz w:val="28"/>
          <w:szCs w:val="28"/>
        </w:rPr>
        <w:t xml:space="preserve">the </w:t>
      </w:r>
      <w:r w:rsidRPr="00C25DFD">
        <w:rPr>
          <w:rFonts w:asciiTheme="minorHAnsi" w:hAnsiTheme="minorHAnsi" w:cstheme="minorHAnsi"/>
          <w:sz w:val="28"/>
          <w:szCs w:val="28"/>
        </w:rPr>
        <w:t>denial or delay of any eligible refund.</w:t>
      </w:r>
    </w:p>
    <w:p w14:paraId="68EECF93" w14:textId="77777777" w:rsidR="009B5AD9" w:rsidRDefault="009B5AD9" w:rsidP="009B5AD9">
      <w:pPr>
        <w:spacing w:after="160" w:line="259" w:lineRule="auto"/>
        <w:rPr>
          <w:rFonts w:asciiTheme="minorHAnsi" w:hAnsiTheme="minorHAnsi" w:cstheme="minorHAnsi"/>
          <w:b/>
          <w:bCs/>
          <w:sz w:val="32"/>
          <w:szCs w:val="32"/>
        </w:rPr>
      </w:pPr>
      <w:r>
        <w:rPr>
          <w:rFonts w:asciiTheme="minorHAnsi" w:hAnsiTheme="minorHAnsi" w:cstheme="minorHAnsi"/>
          <w:b/>
          <w:bCs/>
          <w:sz w:val="32"/>
          <w:szCs w:val="32"/>
        </w:rPr>
        <w:br w:type="page"/>
      </w:r>
    </w:p>
    <w:p w14:paraId="2C9E301E"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lastRenderedPageBreak/>
        <w:t>DECORATIONS</w:t>
      </w:r>
    </w:p>
    <w:p w14:paraId="4BA8B016"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Only non-permanent, unobtrusive, and inoffensive decorations may be used as means of décor. SPSCC reserves the right to require residents to remove decorations that violate the rights of others. Alterations that significantly damage property will be charged to the student.</w:t>
      </w:r>
    </w:p>
    <w:p w14:paraId="217816E2"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GUESTS</w:t>
      </w:r>
    </w:p>
    <w:p w14:paraId="17129C3E"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Student residents are responsible for the conduct of all guests and must ensure guests observe apartment policies and rules. Residents must inform guests of SPSCC policies and are responsible for any damages caused by guests.</w:t>
      </w:r>
    </w:p>
    <w:p w14:paraId="4000BC95"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Guests may be asked to leave SPSCC property at any time. Overnight guests are considered guests inside of an apartment in which they are not a Resident. Guests found to be excessively visiting or clearly residing in a student’s apartment and/or room may be trespassed and the host Resident could be charged the daily rate for the stay of the guest.</w:t>
      </w:r>
    </w:p>
    <w:p w14:paraId="774F7399"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Guests are permitted under the following conditions: all roommates have been informed and have consented in advance, the guest is only present when the host is also present, total occupancy does not exceed fire code or complex standards, and the guest abides by roommate agreements and SPSCC policies.</w:t>
      </w:r>
    </w:p>
    <w:p w14:paraId="3E129BC2"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HEALTH AND SAFETY INSPECTIONS</w:t>
      </w:r>
    </w:p>
    <w:p w14:paraId="6AEE3FF5"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Apartments are expected to remain safe and in clean condition at all times. SPSCC staff will conduct health and safety inspections at least once per quarter to ensure the residence is in good, safe condition for student housing and be responsive to any concerns. Inspections will be scheduled with student residents prior to the subsequent quarter lease period.</w:t>
      </w:r>
    </w:p>
    <w:p w14:paraId="51189C14"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IDENTIFICATION</w:t>
      </w:r>
    </w:p>
    <w:p w14:paraId="382891B2"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Residents and guests must possess a valid picture ID. Residents and guests must provide their names and show appropriate identification to any College official upon request for safety reasons. Guests who are present on property controlled and/or owned by SPSCC without proper ID will be escorted off the premises immediately for safety reasons if their identity cannot be clearly verified by staff.</w:t>
      </w:r>
    </w:p>
    <w:p w14:paraId="076A18C2"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QUIET ENJOYMENT</w:t>
      </w:r>
    </w:p>
    <w:p w14:paraId="0C447BB5"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lastRenderedPageBreak/>
        <w:t>Residents shall be entitled to the quiet enjoyment of the leased space and shall not annoy, disturb, interfere with or endanger other Residents. Students are expected to be reasonable with their noise levels and respectful of requests for quiet. Musical instruments, radios, TVs, laundry machines, etc. must be kept quiet from 10:00pm–8:00am.</w:t>
      </w:r>
    </w:p>
    <w:p w14:paraId="3A4A8F31"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Outdoor activities are welcome in the designated recreational areas. Please do not run in stairwells or do outdoor activities in other common areas including skateboarding.</w:t>
      </w:r>
    </w:p>
    <w:p w14:paraId="59642CBB"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SMOKING, VAPING, TOBACCO, ILLEGAL DRUGS</w:t>
      </w:r>
    </w:p>
    <w:p w14:paraId="7314EB48"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All occupants must refrain from ALL types of smoking within the apartment. The complex prohibits the use of marijuana (medical or recreational) in the apartments, patios, or common areas. Residents and guests who smoke are expected to utilize the cigarette receptacles placed in the designated outdoor smoking areas. The apartment will be kept free of illegal drugs.</w:t>
      </w:r>
    </w:p>
    <w:p w14:paraId="049311D6"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VACANT ROOMS</w:t>
      </w:r>
    </w:p>
    <w:p w14:paraId="191FE8C8"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Should any room(s) in a residence become vacant, residents who are still living in the apartment may not access or use the vacant room(s) for any purpose. Overnight guests are not to use vacant rooms. Residents of each apartment will be responsible for any repairs or cleaning to vacant rooms in the same apartment.</w:t>
      </w:r>
    </w:p>
    <w:p w14:paraId="7831F04F"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PETS</w:t>
      </w:r>
    </w:p>
    <w:p w14:paraId="2EDCF49F"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No animals or pets of any kind shall be kept or harbored in or about the apartment without permission including mammals, reptiles, birds, fish, rodents and insects, nor allow guests or visitors to bring pets.</w:t>
      </w:r>
    </w:p>
    <w:p w14:paraId="6DA13D38"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MOTOR VEHICLES AND PARKING</w:t>
      </w:r>
    </w:p>
    <w:p w14:paraId="5DB675CB"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All motor vehicles owned or operated by the resident must be registered with SPSCC and the apartment complex and parked in specific parking areas only. Each apartment is allowed a maximum of two vehicles registered to park in the designated parking stall (stall number provided at move-in). Do not back into parking spaces.</w:t>
      </w:r>
    </w:p>
    <w:p w14:paraId="3BD1CEAE"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 xml:space="preserve">All vehicles must be in operable condition. Vehicles illegally parked may be immediately towed at the vehicle owner’s expense. If owner has a car alarm, please ensure the alarm does not activate excessively or may be at risk of tow. No other </w:t>
      </w:r>
      <w:r w:rsidRPr="00C25DFD">
        <w:rPr>
          <w:rFonts w:asciiTheme="minorHAnsi" w:hAnsiTheme="minorHAnsi" w:cstheme="minorHAnsi"/>
          <w:sz w:val="28"/>
          <w:szCs w:val="28"/>
        </w:rPr>
        <w:lastRenderedPageBreak/>
        <w:t>vehicles can be stored on the property. To ensure safety and quiet enjoyment, volume of car stereos are to be low while on the premises, and speeds should not exceed 10 mph.</w:t>
      </w:r>
    </w:p>
    <w:p w14:paraId="7AF2AC32"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MOVE OUT</w:t>
      </w:r>
    </w:p>
    <w:p w14:paraId="4AC4E2D7" w14:textId="77777777" w:rsidR="009B5AD9" w:rsidRPr="006D006E"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At move-out, resident will clean and restore the apartment to the condition it was found, and schedule a final move-out inspection with SPSCC staff and return all apartment keys. Resident will be responsible for removing all personal belongings, including furniture, equipment or other personal property prior to the final inspection.</w:t>
      </w:r>
    </w:p>
    <w:p w14:paraId="7E3F2280" w14:textId="77777777" w:rsidR="009B5AD9" w:rsidRPr="00C25DFD" w:rsidRDefault="009B5AD9" w:rsidP="009B5AD9">
      <w:pPr>
        <w:spacing w:after="160" w:line="259" w:lineRule="auto"/>
        <w:rPr>
          <w:rFonts w:asciiTheme="minorHAnsi" w:hAnsiTheme="minorHAnsi" w:cstheme="minorHAnsi"/>
          <w:b/>
          <w:bCs/>
          <w:sz w:val="32"/>
          <w:szCs w:val="32"/>
        </w:rPr>
      </w:pPr>
      <w:r w:rsidRPr="00C25DFD">
        <w:rPr>
          <w:rFonts w:asciiTheme="minorHAnsi" w:hAnsiTheme="minorHAnsi" w:cstheme="minorHAnsi"/>
          <w:b/>
          <w:bCs/>
          <w:sz w:val="32"/>
          <w:szCs w:val="32"/>
        </w:rPr>
        <w:t>NON-COMPLIANCE</w:t>
      </w:r>
    </w:p>
    <w:p w14:paraId="571B84E1" w14:textId="77777777" w:rsidR="009B5AD9" w:rsidRPr="00C25DFD" w:rsidRDefault="009B5AD9" w:rsidP="009B5AD9">
      <w:pPr>
        <w:spacing w:after="160" w:line="259" w:lineRule="auto"/>
        <w:rPr>
          <w:rFonts w:asciiTheme="minorHAnsi" w:hAnsiTheme="minorHAnsi" w:cstheme="minorHAnsi"/>
          <w:sz w:val="28"/>
          <w:szCs w:val="28"/>
        </w:rPr>
      </w:pPr>
      <w:r w:rsidRPr="00C25DFD">
        <w:rPr>
          <w:rFonts w:asciiTheme="minorHAnsi" w:hAnsiTheme="minorHAnsi" w:cstheme="minorHAnsi"/>
          <w:sz w:val="28"/>
          <w:szCs w:val="28"/>
        </w:rPr>
        <w:t>SPSCC Student Housing staff and SPSCC officials are authorized to make reasonable requests of all residents and their guests. Each resident and guest is obligated to comply with these requests. Failure to comply swiftly and honestly with the reasonable request of any College official will result in disciplinary action, and may be subject to termination of their student housing agreement.</w:t>
      </w:r>
    </w:p>
    <w:p w14:paraId="55C599A8" w14:textId="77777777" w:rsidR="009B5AD9" w:rsidRPr="00C50B93" w:rsidRDefault="00DB10E5" w:rsidP="009B5AD9">
      <w:pPr>
        <w:spacing w:after="160" w:line="259" w:lineRule="auto"/>
        <w:rPr>
          <w:rFonts w:asciiTheme="minorHAnsi" w:hAnsiTheme="minorHAnsi" w:cstheme="minorHAnsi"/>
          <w:sz w:val="28"/>
          <w:szCs w:val="28"/>
        </w:rPr>
      </w:pPr>
      <w:r>
        <w:rPr>
          <w:rFonts w:asciiTheme="minorHAnsi" w:hAnsiTheme="minorHAnsi" w:cstheme="minorHAnsi"/>
          <w:sz w:val="28"/>
          <w:szCs w:val="28"/>
        </w:rPr>
        <w:pict w14:anchorId="225EEC33">
          <v:rect id="_x0000_i1027" style="width:0;height:1.5pt" o:hralign="center" o:hrstd="t" o:hr="t" fillcolor="#a0a0a0" stroked="f"/>
        </w:pict>
      </w:r>
    </w:p>
    <w:p w14:paraId="18A4ADC8" w14:textId="16F6F8AF" w:rsidR="009B5AD9" w:rsidRDefault="009B5AD9" w:rsidP="009B5AD9">
      <w:pPr>
        <w:spacing w:after="160" w:line="259" w:lineRule="auto"/>
        <w:rPr>
          <w:rFonts w:asciiTheme="minorHAnsi" w:hAnsiTheme="minorHAnsi" w:cstheme="minorHAnsi"/>
          <w:b/>
          <w:bCs/>
          <w:sz w:val="36"/>
          <w:szCs w:val="36"/>
        </w:rPr>
      </w:pPr>
      <w:bookmarkStart w:id="0" w:name="_GoBack"/>
      <w:bookmarkEnd w:id="0"/>
    </w:p>
    <w:sectPr w:rsidR="009B5AD9" w:rsidSect="009B5AD9">
      <w:footerReference w:type="even" r:id="rId12"/>
      <w:footerReference w:type="default" r:id="rId13"/>
      <w:pgSz w:w="12120" w:h="15710"/>
      <w:pgMar w:top="1040" w:right="920" w:bottom="1280" w:left="1440" w:header="0" w:footer="108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AC453" w14:textId="77777777" w:rsidR="002E7529" w:rsidRDefault="002E7529">
      <w:r>
        <w:separator/>
      </w:r>
    </w:p>
  </w:endnote>
  <w:endnote w:type="continuationSeparator" w:id="0">
    <w:p w14:paraId="02C299A3" w14:textId="77777777" w:rsidR="002E7529" w:rsidRDefault="002E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524FE" w14:textId="77777777" w:rsidR="00B3335E" w:rsidRDefault="00B3335E">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228E" w14:textId="77777777" w:rsidR="00B3335E" w:rsidRDefault="002E7529">
    <w:pPr>
      <w:pStyle w:val="BodyText"/>
      <w:spacing w:line="14" w:lineRule="auto"/>
      <w:rPr>
        <w:sz w:val="20"/>
      </w:rPr>
    </w:pPr>
    <w:r>
      <w:rPr>
        <w:noProof/>
      </w:rPr>
      <mc:AlternateContent>
        <mc:Choice Requires="wps">
          <w:drawing>
            <wp:anchor distT="0" distB="0" distL="0" distR="0" simplePos="0" relativeHeight="487448576" behindDoc="1" locked="0" layoutInCell="1" allowOverlap="1" wp14:anchorId="470DC6DD" wp14:editId="7692F748">
              <wp:simplePos x="0" y="0"/>
              <wp:positionH relativeFrom="page">
                <wp:posOffset>6941869</wp:posOffset>
              </wp:positionH>
              <wp:positionV relativeFrom="page">
                <wp:posOffset>9025547</wp:posOffset>
              </wp:positionV>
              <wp:extent cx="91440" cy="15367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53670"/>
                      </a:xfrm>
                      <a:prstGeom prst="rect">
                        <a:avLst/>
                      </a:prstGeom>
                    </wps:spPr>
                    <wps:txbx>
                      <w:txbxContent>
                        <w:p w14:paraId="5EB83AD6" w14:textId="77777777" w:rsidR="00B3335E" w:rsidRDefault="002E7529">
                          <w:pPr>
                            <w:spacing w:before="14"/>
                            <w:ind w:left="20"/>
                            <w:rPr>
                              <w:sz w:val="18"/>
                            </w:rPr>
                          </w:pPr>
                          <w:r>
                            <w:rPr>
                              <w:spacing w:val="-10"/>
                              <w:w w:val="105"/>
                              <w:sz w:val="18"/>
                            </w:rPr>
                            <w:t>8</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0DC6DD" id="_x0000_t202" coordsize="21600,21600" o:spt="202" path="m,l,21600r21600,l21600,xe">
              <v:stroke joinstyle="miter"/>
              <v:path gradientshapeok="t" o:connecttype="rect"/>
            </v:shapetype>
            <v:shape id="Textbox 22" o:spid="_x0000_s1026" type="#_x0000_t202" style="position:absolute;margin-left:546.6pt;margin-top:710.65pt;width:7.2pt;height:12.1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" filled="f" stroked="f">
              <v:textbox inset="0,0,0,0">
                <w:txbxContent>
                  <w:p w14:paraId="5EB83AD6" w14:textId="77777777" w:rsidR="00B3335E" w:rsidRDefault="002E7529">
                    <w:pPr>
                      <w:spacing w:before="14"/>
                      <w:ind w:left="20"/>
                      <w:rPr>
                        <w:sz w:val="18"/>
                      </w:rPr>
                    </w:pPr>
                    <w:r>
                      <w:rPr>
                        <w:spacing w:val="-10"/>
                        <w:w w:val="105"/>
                        <w:sz w:val="18"/>
                      </w:rPr>
                      <w:t>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EA1E" w14:textId="77777777" w:rsidR="00B3335E" w:rsidRDefault="002E7529">
    <w:pPr>
      <w:pStyle w:val="BodyText"/>
      <w:spacing w:line="14" w:lineRule="auto"/>
      <w:rPr>
        <w:sz w:val="20"/>
      </w:rPr>
    </w:pPr>
    <w:r>
      <w:rPr>
        <w:noProof/>
      </w:rPr>
      <mc:AlternateContent>
        <mc:Choice Requires="wps">
          <w:drawing>
            <wp:anchor distT="0" distB="0" distL="0" distR="0" simplePos="0" relativeHeight="487449088" behindDoc="1" locked="0" layoutInCell="1" allowOverlap="1" wp14:anchorId="7F256DAD" wp14:editId="59ED9509">
              <wp:simplePos x="0" y="0"/>
              <wp:positionH relativeFrom="page">
                <wp:posOffset>6837793</wp:posOffset>
              </wp:positionH>
              <wp:positionV relativeFrom="page">
                <wp:posOffset>8957712</wp:posOffset>
              </wp:positionV>
              <wp:extent cx="172720" cy="1536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53670"/>
                      </a:xfrm>
                      <a:prstGeom prst="rect">
                        <a:avLst/>
                      </a:prstGeom>
                    </wps:spPr>
                    <wps:txbx>
                      <w:txbxContent>
                        <w:p w14:paraId="51B0768B" w14:textId="77777777" w:rsidR="00B3335E" w:rsidRDefault="002E7529">
                          <w:pPr>
                            <w:spacing w:before="14"/>
                            <w:ind w:left="20"/>
                            <w:rPr>
                              <w:sz w:val="18"/>
                            </w:rPr>
                          </w:pPr>
                          <w:r>
                            <w:rPr>
                              <w:spacing w:val="-10"/>
                              <w:w w:val="230"/>
                              <w:sz w:val="18"/>
                            </w:rPr>
                            <w:t>9</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F256DAD" id="_x0000_t202" coordsize="21600,21600" o:spt="202" path="m,l,21600r21600,l21600,xe">
              <v:stroke joinstyle="miter"/>
              <v:path gradientshapeok="t" o:connecttype="rect"/>
            </v:shapetype>
            <v:shape id="Textbox 23" o:spid="_x0000_s1027" type="#_x0000_t202" style="position:absolute;margin-left:538.4pt;margin-top:705.35pt;width:13.6pt;height:12.1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" filled="f" stroked="f">
              <v:textbox inset="0,0,0,0">
                <w:txbxContent>
                  <w:p w14:paraId="51B0768B" w14:textId="77777777" w:rsidR="00B3335E" w:rsidRDefault="002E7529">
                    <w:pPr>
                      <w:spacing w:before="14"/>
                      <w:ind w:left="20"/>
                      <w:rPr>
                        <w:sz w:val="18"/>
                      </w:rPr>
                    </w:pPr>
                    <w:r>
                      <w:rPr>
                        <w:spacing w:val="-10"/>
                        <w:w w:val="230"/>
                        <w:sz w:val="18"/>
                      </w:rP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10EC7" w14:textId="77777777" w:rsidR="002E7529" w:rsidRDefault="002E7529">
      <w:r>
        <w:separator/>
      </w:r>
    </w:p>
  </w:footnote>
  <w:footnote w:type="continuationSeparator" w:id="0">
    <w:p w14:paraId="05C06437" w14:textId="77777777" w:rsidR="002E7529" w:rsidRDefault="002E7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20FFB"/>
    <w:multiLevelType w:val="hybridMultilevel"/>
    <w:tmpl w:val="9AB6D0A6"/>
    <w:lvl w:ilvl="0" w:tplc="292AA80E">
      <w:numFmt w:val="bullet"/>
      <w:lvlText w:val="•"/>
      <w:lvlJc w:val="left"/>
      <w:pPr>
        <w:ind w:left="228" w:hanging="188"/>
      </w:pPr>
      <w:rPr>
        <w:rFonts w:ascii="Arial" w:eastAsia="Arial" w:hAnsi="Arial" w:cs="Arial" w:hint="default"/>
        <w:b w:val="0"/>
        <w:bCs w:val="0"/>
        <w:i w:val="0"/>
        <w:iCs w:val="0"/>
        <w:color w:val="4F4F4F"/>
        <w:spacing w:val="0"/>
        <w:w w:val="104"/>
        <w:sz w:val="25"/>
        <w:szCs w:val="25"/>
        <w:lang w:val="en-US" w:eastAsia="en-US" w:bidi="ar-SA"/>
      </w:rPr>
    </w:lvl>
    <w:lvl w:ilvl="1" w:tplc="92BE0FB2">
      <w:numFmt w:val="bullet"/>
      <w:lvlText w:val="•"/>
      <w:lvlJc w:val="left"/>
      <w:pPr>
        <w:ind w:left="1173" w:hanging="188"/>
      </w:pPr>
      <w:rPr>
        <w:rFonts w:hint="default"/>
        <w:lang w:val="en-US" w:eastAsia="en-US" w:bidi="ar-SA"/>
      </w:rPr>
    </w:lvl>
    <w:lvl w:ilvl="2" w:tplc="9174932E">
      <w:numFmt w:val="bullet"/>
      <w:lvlText w:val="•"/>
      <w:lvlJc w:val="left"/>
      <w:pPr>
        <w:ind w:left="2127" w:hanging="188"/>
      </w:pPr>
      <w:rPr>
        <w:rFonts w:hint="default"/>
        <w:lang w:val="en-US" w:eastAsia="en-US" w:bidi="ar-SA"/>
      </w:rPr>
    </w:lvl>
    <w:lvl w:ilvl="3" w:tplc="EBB4D77A">
      <w:numFmt w:val="bullet"/>
      <w:lvlText w:val="•"/>
      <w:lvlJc w:val="left"/>
      <w:pPr>
        <w:ind w:left="3080" w:hanging="188"/>
      </w:pPr>
      <w:rPr>
        <w:rFonts w:hint="default"/>
        <w:lang w:val="en-US" w:eastAsia="en-US" w:bidi="ar-SA"/>
      </w:rPr>
    </w:lvl>
    <w:lvl w:ilvl="4" w:tplc="1C42666C">
      <w:numFmt w:val="bullet"/>
      <w:lvlText w:val="•"/>
      <w:lvlJc w:val="left"/>
      <w:pPr>
        <w:ind w:left="4034" w:hanging="188"/>
      </w:pPr>
      <w:rPr>
        <w:rFonts w:hint="default"/>
        <w:lang w:val="en-US" w:eastAsia="en-US" w:bidi="ar-SA"/>
      </w:rPr>
    </w:lvl>
    <w:lvl w:ilvl="5" w:tplc="CAF0DDA8">
      <w:numFmt w:val="bullet"/>
      <w:lvlText w:val="•"/>
      <w:lvlJc w:val="left"/>
      <w:pPr>
        <w:ind w:left="4987" w:hanging="188"/>
      </w:pPr>
      <w:rPr>
        <w:rFonts w:hint="default"/>
        <w:lang w:val="en-US" w:eastAsia="en-US" w:bidi="ar-SA"/>
      </w:rPr>
    </w:lvl>
    <w:lvl w:ilvl="6" w:tplc="F05C988A">
      <w:numFmt w:val="bullet"/>
      <w:lvlText w:val="•"/>
      <w:lvlJc w:val="left"/>
      <w:pPr>
        <w:ind w:left="5941" w:hanging="188"/>
      </w:pPr>
      <w:rPr>
        <w:rFonts w:hint="default"/>
        <w:lang w:val="en-US" w:eastAsia="en-US" w:bidi="ar-SA"/>
      </w:rPr>
    </w:lvl>
    <w:lvl w:ilvl="7" w:tplc="8FF2A144">
      <w:numFmt w:val="bullet"/>
      <w:lvlText w:val="•"/>
      <w:lvlJc w:val="left"/>
      <w:pPr>
        <w:ind w:left="6894" w:hanging="188"/>
      </w:pPr>
      <w:rPr>
        <w:rFonts w:hint="default"/>
        <w:lang w:val="en-US" w:eastAsia="en-US" w:bidi="ar-SA"/>
      </w:rPr>
    </w:lvl>
    <w:lvl w:ilvl="8" w:tplc="1B1A13C2">
      <w:numFmt w:val="bullet"/>
      <w:lvlText w:val="•"/>
      <w:lvlJc w:val="left"/>
      <w:pPr>
        <w:ind w:left="7848" w:hanging="188"/>
      </w:pPr>
      <w:rPr>
        <w:rFonts w:hint="default"/>
        <w:lang w:val="en-US" w:eastAsia="en-US" w:bidi="ar-SA"/>
      </w:rPr>
    </w:lvl>
  </w:abstractNum>
  <w:abstractNum w:abstractNumId="1" w15:restartNumberingAfterBreak="0">
    <w:nsid w:val="62E8337E"/>
    <w:multiLevelType w:val="hybridMultilevel"/>
    <w:tmpl w:val="268C2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35E"/>
    <w:rsid w:val="002E7529"/>
    <w:rsid w:val="007E0B4F"/>
    <w:rsid w:val="009B5AD9"/>
    <w:rsid w:val="00B3335E"/>
    <w:rsid w:val="00DB1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E1DB432"/>
  <w15:docId w15:val="{C1FC5162-5863-4241-9366-B937F3DD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0"/>
      <w:outlineLvl w:val="0"/>
    </w:pPr>
    <w:rPr>
      <w:b/>
      <w:bCs/>
      <w:sz w:val="33"/>
      <w:szCs w:val="33"/>
    </w:rPr>
  </w:style>
  <w:style w:type="paragraph" w:styleId="Heading2">
    <w:name w:val="heading 2"/>
    <w:basedOn w:val="Normal"/>
    <w:uiPriority w:val="9"/>
    <w:unhideWhenUsed/>
    <w:qFormat/>
    <w:pPr>
      <w:spacing w:before="158"/>
      <w:ind w:left="116"/>
      <w:outlineLvl w:val="1"/>
    </w:pPr>
    <w:rPr>
      <w:b/>
      <w:bCs/>
      <w:sz w:val="29"/>
      <w:szCs w:val="29"/>
    </w:rPr>
  </w:style>
  <w:style w:type="paragraph" w:styleId="Heading3">
    <w:name w:val="heading 3"/>
    <w:basedOn w:val="Normal"/>
    <w:uiPriority w:val="9"/>
    <w:unhideWhenUsed/>
    <w:qFormat/>
    <w:pPr>
      <w:spacing w:before="66"/>
      <w:ind w:left="128"/>
      <w:outlineLvl w:val="2"/>
    </w:pPr>
    <w:rPr>
      <w:b/>
      <w:bCs/>
      <w:sz w:val="28"/>
      <w:szCs w:val="28"/>
    </w:rPr>
  </w:style>
  <w:style w:type="paragraph" w:styleId="Heading4">
    <w:name w:val="heading 4"/>
    <w:basedOn w:val="Normal"/>
    <w:uiPriority w:val="9"/>
    <w:unhideWhenUsed/>
    <w:qFormat/>
    <w:pPr>
      <w:spacing w:before="172"/>
      <w:ind w:left="114"/>
      <w:outlineLvl w:val="3"/>
    </w:pPr>
    <w:rPr>
      <w:b/>
      <w:bCs/>
      <w:sz w:val="27"/>
      <w:szCs w:val="27"/>
    </w:rPr>
  </w:style>
  <w:style w:type="paragraph" w:styleId="Heading5">
    <w:name w:val="heading 5"/>
    <w:basedOn w:val="Normal"/>
    <w:uiPriority w:val="9"/>
    <w:unhideWhenUsed/>
    <w:qFormat/>
    <w:pPr>
      <w:spacing w:before="147"/>
      <w:ind w:left="119"/>
      <w:outlineLvl w:val="4"/>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pPr>
      <w:spacing w:before="78"/>
      <w:ind w:left="228" w:hanging="194"/>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B5A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scc.edu/sites/default/files/imce/students/Code-of-Student-Right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10</Pages>
  <Words>2156</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Majors, Justin</dc:creator>
  <cp:lastModifiedBy>Regina Hall</cp:lastModifiedBy>
  <cp:revision>3</cp:revision>
  <dcterms:created xsi:type="dcterms:W3CDTF">2026-09-02T19:19:00Z</dcterms:created>
  <dcterms:modified xsi:type="dcterms:W3CDTF">2026-09-02T19:22:00Z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2026-06-12T00:00:00Z</vt:filetime>
  </property>
  <property fmtid="{D5CDD505-2E9C-101B-9397-08002B2CF9AE}" pid="3" name="Producer">
    <vt:lpwstr>Adobe Acrobat Pro (64-bit) 24 Paper Capture Plug-in</vt:lpwstr>
  </property>
  <property fmtid="{D5CDD505-2E9C-101B-9397-08002B2CF9AE}" pid="4" name="LastSaved">
    <vt:filetime>2026-06-12T00:00:00Z</vt:filetime>
  </property>
  <property fmtid="{D5CDD505-2E9C-101B-9397-08002B2CF9AE}" pid="5" name="GrammarlyDocumentId">
    <vt:lpwstr>c3cd9455-5b9b-4313-a568-8839c7bf3cb2</vt:lpwstr>
  </property>
</Properties>
</file>