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hAnsi="Calibri" w:eastAsia="Calibri" w:cs="Calibri"/>
          <w:b/>
          <w:bCs/>
          <w:color w:val="0051BA"/>
          <w:spacing w:val="30"/>
          <w:sz w:val="17"/>
          <w:szCs w:val="17"/>
        </w:rPr>
        <w:t xml:space="preserve">NAVIGATE360 GUIDE</w:t>
      </w:r>
    </w:p>
    <w:p>
      <w:pPr>
        <w:spacing w:after="140"/>
      </w:pPr>
      <w:r>
        <w:rPr>
          <w:rFonts w:ascii="Calibri" w:hAnsi="Calibri" w:eastAsia="Calibri" w:cs="Calibri"/>
          <w:b/>
          <w:bCs/>
          <w:color w:val="0051BA"/>
          <w:sz w:val="44"/>
          <w:szCs w:val="44"/>
        </w:rPr>
        <w:t xml:space="preserve">Using the Student Profile to Prepare for Student Meetings</w:t>
      </w:r>
    </w:p>
    <w:tbl>
      <w:tblPr>
        <w:tblW w:w="1450" w:type="dxa"/>
        <w:tblBorders>
          <w:top w:val="none"/>
          <w:left w:val="none"/>
          <w:bottom w:val="none"/>
          <w:right w:val="none"/>
          <w:insideH w:val="none"/>
          <w:insideV w:val="none"/>
        </w:tblBorders>
      </w:tblPr>
      <w:tblGrid>
        <w:gridCol w:w="1450"/>
      </w:tblGrid>
      <w:tr>
        <w:tc>
          <w:tcPr>
            <w:tcW w:w="1450" w:type="dxa"/>
            <w:shd w:val="clear" w:fill="0051BA"/>
            <w:tcMar>
              <w:top w:w="30" w:type="dxa"/>
              <w:left w:w="120" w:type="dxa"/>
              <w:bottom w:w="30" w:type="dxa"/>
              <w:right w:w="120" w:type="dxa"/>
            </w:tcMar>
          </w:tcPr>
          <w:p>
            <w:pPr>
              <w:jc w:val="center"/>
            </w:pPr>
            <w:r>
              <w:rPr>
                <w:rFonts w:ascii="Calibri" w:hAnsi="Calibri" w:eastAsia="Calibri" w:cs="Calibri"/>
                <w:b/>
                <w:bCs/>
                <w:color w:val="FFFFFF"/>
                <w:spacing w:val="20"/>
                <w:sz w:val="17"/>
                <w:szCs w:val="17"/>
              </w:rPr>
              <w:t xml:space="preserve">STAFF GUIDE</w:t>
            </w:r>
          </w:p>
        </w:tc>
      </w:tr>
    </w:tbl>
    <w:p>
      <w:pPr>
        <w:pBdr>
          <w:bottom w:val="single" w:color="0051BA" w:sz="12" w:space="1"/>
        </w:pBdr>
        <w:spacing w:before="120" w:after="220"/>
      </w:pPr>
      <w:r>
        <w:rPr>
          <w:rFonts w:ascii="Calibri" w:hAnsi="Calibri" w:eastAsia="Calibri" w:cs="Calibri"/>
        </w:rPr>
      </w:r>
    </w:p>
    <w:p>
      <w:pPr>
        <w:keepNext/>
        <w:spacing w:before="300" w:after="90"/>
      </w:pPr>
      <w:r>
        <w:rPr>
          <w:rFonts w:ascii="Calibri" w:hAnsi="Calibri" w:eastAsia="Calibri" w:cs="Calibri"/>
          <w:b/>
          <w:bCs/>
          <w:color w:val="0051BA"/>
          <w:sz w:val="28"/>
          <w:szCs w:val="28"/>
        </w:rPr>
        <w:t xml:space="preserve">Purpose</w:t>
      </w:r>
    </w:p>
    <w:p>
      <w:pPr>
        <w:spacing w:after="140"/>
      </w:pPr>
      <w:r>
        <w:rPr>
          <w:rFonts w:ascii="Calibri" w:hAnsi="Calibri" w:eastAsia="Calibri" w:cs="Calibri"/>
        </w:rPr>
        <w:t xml:space="preserve">This guide shows you how to use the Student Profile in Navigate360 to get ready for a meeting with a student. You will learn what each tab can tell you and which questions to think about before the student walks in.</w:t>
      </w:r>
    </w:p>
    <w:p>
      <w:pPr>
        <w:keepNext/>
        <w:spacing w:before="300" w:after="90"/>
      </w:pPr>
      <w:r>
        <w:rPr>
          <w:rFonts w:ascii="Calibri" w:hAnsi="Calibri" w:eastAsia="Calibri" w:cs="Calibri"/>
          <w:b/>
          <w:bCs/>
          <w:color w:val="0051BA"/>
          <w:sz w:val="28"/>
          <w:szCs w:val="28"/>
        </w:rPr>
        <w:t xml:space="preserve">Why Review the Profile First</w:t>
      </w:r>
    </w:p>
    <w:p>
      <w:pPr>
        <w:spacing w:after="140"/>
      </w:pPr>
      <w:r>
        <w:rPr>
          <w:rFonts w:ascii="Calibri" w:hAnsi="Calibri" w:eastAsia="Calibri" w:cs="Calibri"/>
        </w:rPr>
        <w:t xml:space="preserve">Whether you are reaching out through an appointment campaign or getting ready for a scheduled appointment, the Student Profile puts the most important information about a student in one place. Depending on your role, you can see the student’s academic progress, past meetings with other staff, and the goals and interests they have shared.</w:t>
      </w:r>
    </w:p>
    <w:p>
      <w:pPr>
        <w:spacing w:after="140"/>
      </w:pPr>
      <w:r>
        <w:rPr>
          <w:rFonts w:ascii="Calibri" w:hAnsi="Calibri" w:eastAsia="Calibri" w:cs="Calibri"/>
        </w:rPr>
        <w:t xml:space="preserve">Reviewing the profile ahead of time gives you a fuller picture of the student’s experience at the college. It also means the student does not have to repeat the same story to every person they meet.</w:t>
      </w:r>
    </w:p>
    <w:p>
      <w:pPr>
        <w:keepNext/>
        <w:spacing w:before="300" w:after="90"/>
      </w:pPr>
      <w:r>
        <w:rPr>
          <w:rFonts w:ascii="Calibri" w:hAnsi="Calibri" w:eastAsia="Calibri" w:cs="Calibri"/>
          <w:b/>
          <w:bCs/>
          <w:color w:val="0051BA"/>
          <w:sz w:val="28"/>
          <w:szCs w:val="28"/>
        </w:rPr>
        <w:t xml:space="preserve">Overview Tab</w:t>
      </w:r>
    </w:p>
    <w:p>
      <w:pPr>
        <w:spacing w:after="140"/>
      </w:pPr>
      <w:r>
        <w:rPr>
          <w:rFonts w:ascii="Calibri" w:hAnsi="Calibri" w:eastAsia="Calibri" w:cs="Calibri"/>
        </w:rPr>
        <w:t xml:space="preserve">Start with the Overview tab. The 30-Second Overview at the top gives you a quick look at the student’s academic performance so far, including cumulative GPA, D, F, and W counts, and repeated courses. This helps you see where the student may need more or less support, and it can open the door to a deeper conversation.</w:t>
      </w:r>
    </w:p>
    <w:p>
      <w:pPr>
        <w:spacing w:after="140"/>
      </w:pPr>
      <w:r>
        <w:rPr>
          <w:rFonts w:ascii="Calibri" w:hAnsi="Calibri" w:eastAsia="Calibri" w:cs="Calibri"/>
        </w:rPr>
        <w:t xml:space="preserve">The 30-Second Overview also shows missed </w:t>
      </w:r>
      <w:hyperlink r:id="rId100">
        <w:r>
          <w:rPr>
            <w:rFonts w:ascii="Calibri" w:hAnsi="Calibri" w:eastAsia="Calibri" w:cs="Calibri"/>
            <w:color w:val="0051BA"/>
            <w:u w:val="single"/>
          </w:rPr>
          <w:t xml:space="preserve">success marker</w:t>
        </w:r>
      </w:hyperlink>
      <w:r>
        <w:rPr>
          <w:rFonts w:ascii="Calibri" w:hAnsi="Calibri" w:eastAsia="Calibri" w:cs="Calibri"/>
        </w:rPr>
        <w:t xml:space="preserve"> counts and the student’s </w:t>
      </w:r>
      <w:hyperlink r:id="rId101">
        <w:r>
          <w:rPr>
            <w:rFonts w:ascii="Calibri" w:hAnsi="Calibri" w:eastAsia="Calibri" w:cs="Calibri"/>
            <w:color w:val="0051BA"/>
            <w:u w:val="single"/>
          </w:rPr>
          <w:t xml:space="preserve">Predicted Support Level</w:t>
        </w:r>
      </w:hyperlink>
      <w:r>
        <w:rPr>
          <w:rFonts w:ascii="Calibri" w:hAnsi="Calibri" w:eastAsia="Calibri" w:cs="Calibri"/>
        </w:rPr>
        <w:t xml:space="preserve">. The Predicted Support Level is just one signal. Look at it alongside missed success markers, D and F grades, GPA, credit completion, and major.</w:t>
      </w:r>
    </w:p>
    <w:p>
      <w:pPr>
        <w:spacing w:after="140"/>
      </w:pPr>
      <w:hyperlink r:id="rId102">
        <w:r>
          <w:rPr>
            <w:rFonts w:ascii="Calibri" w:hAnsi="Calibri" w:eastAsia="Calibri" w:cs="Calibri"/>
            <w:color w:val="0051BA"/>
            <w:u w:val="single"/>
          </w:rPr>
          <w:t xml:space="preserve">Alerts</w:t>
        </w:r>
      </w:hyperlink>
      <w:r>
        <w:rPr>
          <w:rFonts w:ascii="Calibri" w:hAnsi="Calibri" w:eastAsia="Calibri" w:cs="Calibri"/>
        </w:rPr>
        <w:t xml:space="preserve"> can show challenges the student may be facing, and Goals and Interests can help you understand what motivates them.</w:t>
      </w:r>
    </w:p>
    <w:p>
      <w:pPr>
        <w:keepNext/>
        <w:spacing w:before="80" w:after="140"/>
      </w:pPr>
      <w:r>
        <w:rPr>
          <w:rFonts w:ascii="Calibri" w:hAnsi="Calibri" w:eastAsia="Calibri" w:cs="Calibri"/>
          <w:b/>
          <w:bCs/>
        </w:rPr>
        <w:t xml:space="preserve">Questions to consider:</w:t>
      </w:r>
    </w:p>
    <w:p>
      <w:pPr>
        <w:pStyle w:val="ListParagraph"/>
        <w:numPr>
          <w:ilvl w:val="0"/>
          <w:numId w:val="2"/>
        </w:numPr>
        <w:spacing w:after="70"/>
      </w:pPr>
      <w:r>
        <w:rPr>
          <w:rFonts w:ascii="Calibri" w:hAnsi="Calibri" w:eastAsia="Calibri" w:cs="Calibri"/>
        </w:rPr>
        <w:t xml:space="preserve">Has anyone issued an alert for this student? If so, for what reason? How might that shape your conversation?</w:t>
      </w:r>
    </w:p>
    <w:p>
      <w:pPr>
        <w:pStyle w:val="ListParagraph"/>
        <w:numPr>
          <w:ilvl w:val="0"/>
          <w:numId w:val="2"/>
        </w:numPr>
        <w:spacing w:after="70"/>
      </w:pPr>
      <w:r>
        <w:rPr>
          <w:rFonts w:ascii="Calibri" w:hAnsi="Calibri" w:eastAsia="Calibri" w:cs="Calibri"/>
        </w:rPr>
        <w:t xml:space="preserve">What is the student’s Predicted Support Level? Do the Predictive Influencers help explain why?</w:t>
      </w:r>
    </w:p>
    <w:p>
      <w:pPr>
        <w:pStyle w:val="ListParagraph"/>
        <w:numPr>
          <w:ilvl w:val="0"/>
          <w:numId w:val="2"/>
        </w:numPr>
        <w:spacing w:after="70"/>
      </w:pPr>
      <w:r>
        <w:rPr>
          <w:rFonts w:ascii="Calibri" w:hAnsi="Calibri" w:eastAsia="Calibri" w:cs="Calibri"/>
        </w:rPr>
        <w:t xml:space="preserve">Has the student shared any goals or interests? How could you use that to help them choose or confirm a major?</w:t>
      </w:r>
    </w:p>
    <w:p>
      <w:pPr>
        <w:keepNext/>
        <w:spacing w:before="300" w:after="90"/>
      </w:pPr>
      <w:r>
        <w:rPr>
          <w:rFonts w:ascii="Calibri" w:hAnsi="Calibri" w:eastAsia="Calibri" w:cs="Calibri"/>
          <w:b/>
          <w:bCs/>
          <w:color w:val="0051BA"/>
          <w:sz w:val="28"/>
          <w:szCs w:val="28"/>
        </w:rPr>
        <w:t xml:space="preserve">Success Progress Tab</w:t>
      </w:r>
    </w:p>
    <w:p>
      <w:pPr>
        <w:spacing w:after="140"/>
      </w:pPr>
      <w:r>
        <w:rPr>
          <w:rFonts w:ascii="Calibri" w:hAnsi="Calibri" w:eastAsia="Calibri" w:cs="Calibri"/>
        </w:rPr>
        <w:t xml:space="preserve">The </w:t>
      </w:r>
      <w:hyperlink r:id="rId103">
        <w:r>
          <w:rPr>
            <w:rFonts w:ascii="Calibri" w:hAnsi="Calibri" w:eastAsia="Calibri" w:cs="Calibri"/>
            <w:color w:val="0051BA"/>
            <w:u w:val="single"/>
          </w:rPr>
          <w:t xml:space="preserve">Success Progress tab</w:t>
        </w:r>
      </w:hyperlink>
      <w:r>
        <w:rPr>
          <w:rFonts w:ascii="Calibri" w:hAnsi="Calibri" w:eastAsia="Calibri" w:cs="Calibri"/>
        </w:rPr>
        <w:t xml:space="preserve"> gives you more detail about how the student is moving toward a degree. It shows more about the Predicted Support Level and success markers, along with GPA and credit trends.</w:t>
      </w:r>
    </w:p>
    <w:p>
      <w:pPr>
        <w:spacing w:after="140"/>
      </w:pPr>
      <w:r>
        <w:rPr>
          <w:rFonts w:ascii="Calibri" w:hAnsi="Calibri" w:eastAsia="Calibri" w:cs="Calibri"/>
        </w:rPr>
        <w:t xml:space="preserve">Use the </w:t>
      </w:r>
      <w:hyperlink r:id="rId104">
        <w:r>
          <w:rPr>
            <w:rFonts w:ascii="Calibri" w:hAnsi="Calibri" w:eastAsia="Calibri" w:cs="Calibri"/>
            <w:color w:val="0051BA"/>
            <w:u w:val="single"/>
          </w:rPr>
          <w:t xml:space="preserve">Predictive Influencers</w:t>
        </w:r>
      </w:hyperlink>
      <w:r>
        <w:rPr>
          <w:rFonts w:ascii="Calibri" w:hAnsi="Calibri" w:eastAsia="Calibri" w:cs="Calibri"/>
        </w:rPr>
        <w:t xml:space="preserve"> to understand the reasons behind a student’s Predicted Support Level. Check success marker progress to see key milestones, and watch credit and GPA trends for signs that something has changed.</w:t>
      </w:r>
    </w:p>
    <w:p>
      <w:pPr>
        <w:keepNext/>
        <w:spacing w:before="80" w:after="140"/>
      </w:pPr>
      <w:r>
        <w:rPr>
          <w:rFonts w:ascii="Calibri" w:hAnsi="Calibri" w:eastAsia="Calibri" w:cs="Calibri"/>
          <w:b/>
          <w:bCs/>
        </w:rPr>
        <w:t xml:space="preserve">Questions to consider:</w:t>
      </w:r>
    </w:p>
    <w:p>
      <w:pPr>
        <w:pStyle w:val="ListParagraph"/>
        <w:numPr>
          <w:ilvl w:val="0"/>
          <w:numId w:val="2"/>
        </w:numPr>
        <w:spacing w:after="70"/>
      </w:pPr>
      <w:r>
        <w:rPr>
          <w:rFonts w:ascii="Calibri" w:hAnsi="Calibri" w:eastAsia="Calibri" w:cs="Calibri"/>
        </w:rPr>
        <w:t xml:space="preserve">Does the student have any success marker courses coming up? How can you make sure they understand why those courses matter?</w:t>
      </w:r>
    </w:p>
    <w:p>
      <w:pPr>
        <w:pStyle w:val="ListParagraph"/>
        <w:numPr>
          <w:ilvl w:val="0"/>
          <w:numId w:val="2"/>
        </w:numPr>
        <w:spacing w:after="70"/>
      </w:pPr>
      <w:r>
        <w:rPr>
          <w:rFonts w:ascii="Calibri" w:hAnsi="Calibri" w:eastAsia="Calibri" w:cs="Calibri"/>
        </w:rPr>
        <w:t xml:space="preserve">Has the student missed any success markers? What got in the way, and how can you help them get back on track?</w:t>
      </w:r>
    </w:p>
    <w:p>
      <w:pPr>
        <w:pStyle w:val="ListParagraph"/>
        <w:numPr>
          <w:ilvl w:val="0"/>
          <w:numId w:val="2"/>
        </w:numPr>
        <w:spacing w:after="70"/>
      </w:pPr>
      <w:r>
        <w:rPr>
          <w:rFonts w:ascii="Calibri" w:hAnsi="Calibri" w:eastAsia="Calibri" w:cs="Calibri"/>
        </w:rPr>
        <w:t xml:space="preserve">Which Predictive Influencers are hurting the student’s chances of success? Can any of them be changed?</w:t>
      </w:r>
    </w:p>
    <w:p>
      <w:pPr>
        <w:pStyle w:val="ListParagraph"/>
        <w:numPr>
          <w:ilvl w:val="0"/>
          <w:numId w:val="2"/>
        </w:numPr>
        <w:spacing w:after="70"/>
      </w:pPr>
      <w:r>
        <w:rPr>
          <w:rFonts w:ascii="Calibri" w:hAnsi="Calibri" w:eastAsia="Calibri" w:cs="Calibri"/>
        </w:rPr>
        <w:t xml:space="preserve">Which Predictive Influencers are helping? How can you encourage the student to keep doing well in those areas?</w:t>
      </w:r>
    </w:p>
    <w:p>
      <w:pPr>
        <w:pStyle w:val="ListParagraph"/>
        <w:numPr>
          <w:ilvl w:val="0"/>
          <w:numId w:val="2"/>
        </w:numPr>
        <w:spacing w:after="70"/>
      </w:pPr>
      <w:r>
        <w:rPr>
          <w:rFonts w:ascii="Calibri" w:hAnsi="Calibri" w:eastAsia="Calibri" w:cs="Calibri"/>
        </w:rPr>
        <w:t xml:space="preserve">Do you see any big changes in the student’s performance? For example, did their GPA drop, or are they taking far more or far fewer credits than usual?</w:t>
      </w:r>
    </w:p>
    <w:p>
      <w:pPr>
        <w:keepNext/>
        <w:spacing w:before="300" w:after="90"/>
      </w:pPr>
      <w:r>
        <w:rPr>
          <w:rFonts w:ascii="Calibri" w:hAnsi="Calibri" w:eastAsia="Calibri" w:cs="Calibri"/>
          <w:b/>
          <w:bCs/>
          <w:color w:val="0051BA"/>
          <w:sz w:val="28"/>
          <w:szCs w:val="28"/>
        </w:rPr>
        <w:t xml:space="preserve">Courses Tab</w:t>
      </w:r>
    </w:p>
    <w:p>
      <w:pPr>
        <w:spacing w:after="140"/>
      </w:pPr>
      <w:r>
        <w:rPr>
          <w:rFonts w:ascii="Calibri" w:hAnsi="Calibri" w:eastAsia="Calibri" w:cs="Calibri"/>
        </w:rPr>
        <w:t xml:space="preserve">The </w:t>
      </w:r>
      <w:hyperlink r:id="rId105">
        <w:r>
          <w:rPr>
            <w:rFonts w:ascii="Calibri" w:hAnsi="Calibri" w:eastAsia="Calibri" w:cs="Calibri"/>
            <w:color w:val="0051BA"/>
            <w:u w:val="single"/>
          </w:rPr>
          <w:t xml:space="preserve">Courses tab</w:t>
        </w:r>
      </w:hyperlink>
      <w:r>
        <w:rPr>
          <w:rFonts w:ascii="Calibri" w:hAnsi="Calibri" w:eastAsia="Calibri" w:cs="Calibri"/>
        </w:rPr>
        <w:t xml:space="preserve"> shows the student’s enrollment history, grades, and credits earned. Use it to understand the student’s course load and which subjects come easily to them or feel harder.</w:t>
      </w:r>
    </w:p>
    <w:p>
      <w:pPr>
        <w:keepNext/>
        <w:spacing w:before="80" w:after="140"/>
      </w:pPr>
      <w:r>
        <w:rPr>
          <w:rFonts w:ascii="Calibri" w:hAnsi="Calibri" w:eastAsia="Calibri" w:cs="Calibri"/>
          <w:b/>
          <w:bCs/>
        </w:rPr>
        <w:t xml:space="preserve">Questions to consider:</w:t>
      </w:r>
    </w:p>
    <w:p>
      <w:pPr>
        <w:pStyle w:val="ListParagraph"/>
        <w:numPr>
          <w:ilvl w:val="0"/>
          <w:numId w:val="2"/>
        </w:numPr>
        <w:spacing w:after="70"/>
      </w:pPr>
      <w:r>
        <w:rPr>
          <w:rFonts w:ascii="Calibri" w:hAnsi="Calibri" w:eastAsia="Calibri" w:cs="Calibri"/>
        </w:rPr>
        <w:t xml:space="preserve">Is the student taking a lot more or a lot fewer credits than before?</w:t>
      </w:r>
    </w:p>
    <w:p>
      <w:pPr>
        <w:pStyle w:val="ListParagraph"/>
        <w:numPr>
          <w:ilvl w:val="0"/>
          <w:numId w:val="2"/>
        </w:numPr>
        <w:spacing w:after="70"/>
      </w:pPr>
      <w:r>
        <w:rPr>
          <w:rFonts w:ascii="Calibri" w:hAnsi="Calibri" w:eastAsia="Calibri" w:cs="Calibri"/>
        </w:rPr>
        <w:t xml:space="preserve">Is the student enrolled in any especially challenging or important courses right now?</w:t>
      </w:r>
    </w:p>
    <w:p>
      <w:pPr>
        <w:pStyle w:val="ListParagraph"/>
        <w:numPr>
          <w:ilvl w:val="0"/>
          <w:numId w:val="2"/>
        </w:numPr>
        <w:spacing w:after="70"/>
      </w:pPr>
      <w:r>
        <w:rPr>
          <w:rFonts w:ascii="Calibri" w:hAnsi="Calibri" w:eastAsia="Calibri" w:cs="Calibri"/>
        </w:rPr>
        <w:t xml:space="preserve">What is the student’s current course score in the LMS?</w:t>
      </w:r>
    </w:p>
    <w:p>
      <w:pPr>
        <w:pStyle w:val="ListParagraph"/>
        <w:numPr>
          <w:ilvl w:val="0"/>
          <w:numId w:val="2"/>
        </w:numPr>
        <w:spacing w:after="70"/>
      </w:pPr>
      <w:r>
        <w:rPr>
          <w:rFonts w:ascii="Calibri" w:hAnsi="Calibri" w:eastAsia="Calibri" w:cs="Calibri"/>
        </w:rPr>
        <w:t xml:space="preserve">Does the assignment data raise any concerns?</w:t>
      </w:r>
    </w:p>
    <w:p>
      <w:pPr>
        <w:keepNext/>
        <w:spacing w:before="300" w:after="90"/>
      </w:pPr>
      <w:r>
        <w:rPr>
          <w:rFonts w:ascii="Calibri" w:hAnsi="Calibri" w:eastAsia="Calibri" w:cs="Calibri"/>
          <w:b/>
          <w:bCs/>
          <w:color w:val="0051BA"/>
          <w:sz w:val="28"/>
          <w:szCs w:val="28"/>
        </w:rPr>
        <w:t xml:space="preserve">History Tab</w:t>
      </w:r>
    </w:p>
    <w:p>
      <w:pPr>
        <w:spacing w:after="140"/>
      </w:pPr>
      <w:r>
        <w:rPr>
          <w:rFonts w:ascii="Calibri" w:hAnsi="Calibri" w:eastAsia="Calibri" w:cs="Calibri"/>
        </w:rPr>
        <w:t xml:space="preserve">The History tab (which may show as Reports and Notes) gathers all recorded activity for the student. This includes appointments, your To Dos, </w:t>
      </w:r>
      <w:hyperlink r:id="rId106">
        <w:r>
          <w:rPr>
            <w:rFonts w:ascii="Calibri" w:hAnsi="Calibri" w:eastAsia="Calibri" w:cs="Calibri"/>
            <w:color w:val="0051BA"/>
            <w:u w:val="single"/>
          </w:rPr>
          <w:t xml:space="preserve">alerts</w:t>
        </w:r>
      </w:hyperlink>
      <w:r>
        <w:rPr>
          <w:rFonts w:ascii="Calibri" w:hAnsi="Calibri" w:eastAsia="Calibri" w:cs="Calibri"/>
        </w:rPr>
        <w:t xml:space="preserve">, </w:t>
      </w:r>
      <w:hyperlink r:id="rId107">
        <w:r>
          <w:rPr>
            <w:rFonts w:ascii="Calibri" w:hAnsi="Calibri" w:eastAsia="Calibri" w:cs="Calibri"/>
            <w:color w:val="0051BA"/>
            <w:u w:val="single"/>
          </w:rPr>
          <w:t xml:space="preserve">cases</w:t>
        </w:r>
      </w:hyperlink>
      <w:r>
        <w:rPr>
          <w:rFonts w:ascii="Calibri" w:hAnsi="Calibri" w:eastAsia="Calibri" w:cs="Calibri"/>
        </w:rPr>
        <w:t xml:space="preserve">, </w:t>
      </w:r>
      <w:hyperlink r:id="rId108">
        <w:r>
          <w:rPr>
            <w:rFonts w:ascii="Calibri" w:hAnsi="Calibri" w:eastAsia="Calibri" w:cs="Calibri"/>
            <w:color w:val="0051BA"/>
            <w:u w:val="single"/>
          </w:rPr>
          <w:t xml:space="preserve">staff To Dos</w:t>
        </w:r>
      </w:hyperlink>
      <w:r>
        <w:rPr>
          <w:rFonts w:ascii="Calibri" w:hAnsi="Calibri" w:eastAsia="Calibri" w:cs="Calibri"/>
        </w:rPr>
        <w:t xml:space="preserve">, </w:t>
      </w:r>
      <w:hyperlink r:id="rId109">
        <w:r>
          <w:rPr>
            <w:rFonts w:ascii="Calibri" w:hAnsi="Calibri" w:eastAsia="Calibri" w:cs="Calibri"/>
            <w:color w:val="0051BA"/>
            <w:u w:val="single"/>
          </w:rPr>
          <w:t xml:space="preserve">notes</w:t>
        </w:r>
      </w:hyperlink>
      <w:r>
        <w:rPr>
          <w:rFonts w:ascii="Calibri" w:hAnsi="Calibri" w:eastAsia="Calibri" w:cs="Calibri"/>
        </w:rPr>
        <w:t xml:space="preserve">, </w:t>
      </w:r>
      <w:hyperlink r:id="rId110">
        <w:r>
          <w:rPr>
            <w:rFonts w:ascii="Calibri" w:hAnsi="Calibri" w:eastAsia="Calibri" w:cs="Calibri"/>
            <w:color w:val="0051BA"/>
            <w:u w:val="single"/>
          </w:rPr>
          <w:t xml:space="preserve">appointment summaries</w:t>
        </w:r>
      </w:hyperlink>
      <w:r>
        <w:rPr>
          <w:rFonts w:ascii="Calibri" w:hAnsi="Calibri" w:eastAsia="Calibri" w:cs="Calibri"/>
        </w:rPr>
        <w:t xml:space="preserve">, and </w:t>
      </w:r>
      <w:hyperlink r:id="rId111">
        <w:r>
          <w:rPr>
            <w:rFonts w:ascii="Calibri" w:hAnsi="Calibri" w:eastAsia="Calibri" w:cs="Calibri"/>
            <w:color w:val="0051BA"/>
            <w:u w:val="single"/>
          </w:rPr>
          <w:t xml:space="preserve">progress reports</w:t>
        </w:r>
      </w:hyperlink>
      <w:r>
        <w:rPr>
          <w:rFonts w:ascii="Calibri" w:hAnsi="Calibri" w:eastAsia="Calibri" w:cs="Calibri"/>
        </w:rPr>
        <w:t xml:space="preserve">.</w:t>
      </w:r>
    </w:p>
    <w:p>
      <w:pPr>
        <w:spacing w:after="140"/>
      </w:pPr>
      <w:r>
        <w:rPr>
          <w:rFonts w:ascii="Calibri" w:hAnsi="Calibri" w:eastAsia="Calibri" w:cs="Calibri"/>
        </w:rPr>
        <w:t xml:space="preserve">Depending on your permissions, you can also see the student’s meetings with others on campus, such as a tutor, instructor, or another advisor. Sharing this information across departments is what makes coordinated care work.</w:t>
      </w:r>
    </w:p>
    <w:tbl>
      <w:tblPr>
        <w:tblW w:w="10080" w:type="dxa"/>
        <w:tblBorders>
          <w:top w:val="single" w:color="F7D9BC" w:sz="4"/>
          <w:left w:val="single" w:color="FF8200" w:sz="30"/>
          <w:bottom w:val="single" w:color="F7D9BC" w:sz="4"/>
          <w:right w:val="single" w:color="F7D9BC" w:sz="4"/>
          <w:insideH w:val="none"/>
          <w:insideV w:val="none"/>
        </w:tblBorders>
      </w:tblPr>
      <w:tblGrid>
        <w:gridCol w:w="10080"/>
      </w:tblGrid>
      <w:tr>
        <w:tc>
          <w:tcPr>
            <w:tcW w:w="10080" w:type="dxa"/>
            <w:shd w:val="clear" w:fill="FDF1E5"/>
            <w:tcMar>
              <w:top w:w="100" w:type="dxa"/>
              <w:left w:w="160" w:type="dxa"/>
              <w:bottom w:w="100" w:type="dxa"/>
              <w:right w:w="160" w:type="dxa"/>
            </w:tcMar>
          </w:tcPr>
          <w:p>
            <w:pPr>
              <w:spacing w:after="0"/>
            </w:pPr>
            <w:r>
              <w:rPr>
                <w:rFonts w:ascii="Calibri" w:hAnsi="Calibri" w:eastAsia="Calibri" w:cs="Calibri"/>
                <w:b/>
                <w:bCs/>
              </w:rPr>
              <w:t xml:space="preserve">Tip:</w:t>
            </w:r>
            <w:r>
              <w:rPr>
                <w:rFonts w:ascii="Calibri" w:hAnsi="Calibri" w:eastAsia="Calibri" w:cs="Calibri"/>
              </w:rPr>
              <w:t xml:space="preserve"> </w:t>
            </w:r>
            <w:r>
              <w:rPr>
                <w:rFonts w:ascii="Calibri" w:hAnsi="Calibri" w:eastAsia="Calibri" w:cs="Calibri"/>
              </w:rPr>
              <w:t xml:space="preserve">Before you meet with a student, review all the documentation you have access to. You will walk in with a fuller picture, and the student will not have to repeat themselves.</w:t>
            </w:r>
          </w:p>
        </w:tc>
      </w:tr>
    </w:tbl>
    <w:p>
      <w:pPr>
        <w:spacing w:after="120"/>
      </w:pPr>
    </w:p>
    <w:p>
      <w:pPr>
        <w:keepNext/>
        <w:spacing w:before="80" w:after="140"/>
      </w:pPr>
      <w:r>
        <w:rPr>
          <w:rFonts w:ascii="Calibri" w:hAnsi="Calibri" w:eastAsia="Calibri" w:cs="Calibri"/>
          <w:b/>
          <w:bCs/>
        </w:rPr>
        <w:t xml:space="preserve">Questions to consider:</w:t>
      </w:r>
    </w:p>
    <w:p>
      <w:pPr>
        <w:pStyle w:val="ListParagraph"/>
        <w:numPr>
          <w:ilvl w:val="0"/>
          <w:numId w:val="2"/>
        </w:numPr>
        <w:spacing w:after="70"/>
      </w:pPr>
      <w:r>
        <w:rPr>
          <w:rFonts w:ascii="Calibri" w:hAnsi="Calibri" w:eastAsia="Calibri" w:cs="Calibri"/>
        </w:rPr>
        <w:t xml:space="preserve">Has the student been meeting with others on campus? If so, why? How can that guide your conversation?</w:t>
      </w:r>
    </w:p>
    <w:p>
      <w:pPr>
        <w:pStyle w:val="ListParagraph"/>
        <w:numPr>
          <w:ilvl w:val="0"/>
          <w:numId w:val="2"/>
        </w:numPr>
        <w:spacing w:after="70"/>
      </w:pPr>
      <w:r>
        <w:rPr>
          <w:rFonts w:ascii="Calibri" w:hAnsi="Calibri" w:eastAsia="Calibri" w:cs="Calibri"/>
        </w:rPr>
        <w:t xml:space="preserve">Are there any alerts for this student? If a case was opened, was it closed out?</w:t>
      </w:r>
    </w:p>
    <w:p>
      <w:pPr>
        <w:keepNext/>
        <w:spacing w:before="300" w:after="90"/>
      </w:pPr>
      <w:r>
        <w:rPr>
          <w:rFonts w:ascii="Calibri" w:hAnsi="Calibri" w:eastAsia="Calibri" w:cs="Calibri"/>
          <w:b/>
          <w:bCs/>
          <w:color w:val="0051BA"/>
          <w:sz w:val="28"/>
          <w:szCs w:val="28"/>
        </w:rPr>
        <w:t xml:space="preserve">Checklist Tab</w:t>
      </w:r>
    </w:p>
    <w:p>
      <w:pPr>
        <w:spacing w:after="140"/>
      </w:pPr>
      <w:r>
        <w:rPr>
          <w:rFonts w:ascii="Calibri" w:hAnsi="Calibri" w:eastAsia="Calibri" w:cs="Calibri"/>
        </w:rPr>
        <w:t xml:space="preserve">The </w:t>
      </w:r>
      <w:hyperlink r:id="rId112">
        <w:r>
          <w:rPr>
            <w:rFonts w:ascii="Calibri" w:hAnsi="Calibri" w:eastAsia="Calibri" w:cs="Calibri"/>
            <w:color w:val="0051BA"/>
            <w:u w:val="single"/>
          </w:rPr>
          <w:t xml:space="preserve">Checklist tab</w:t>
        </w:r>
      </w:hyperlink>
      <w:r>
        <w:rPr>
          <w:rFonts w:ascii="Calibri" w:hAnsi="Calibri" w:eastAsia="Calibri" w:cs="Calibri"/>
        </w:rPr>
        <w:t xml:space="preserve"> shows what the student sees on their checklist in Navigate360 Student. Here you can review upcoming </w:t>
      </w:r>
      <w:hyperlink r:id="rId113">
        <w:r>
          <w:rPr>
            <w:rFonts w:ascii="Calibri" w:hAnsi="Calibri" w:eastAsia="Calibri" w:cs="Calibri"/>
            <w:color w:val="0051BA"/>
            <w:u w:val="single"/>
          </w:rPr>
          <w:t xml:space="preserve">To Dos</w:t>
        </w:r>
      </w:hyperlink>
      <w:r>
        <w:rPr>
          <w:rFonts w:ascii="Calibri" w:hAnsi="Calibri" w:eastAsia="Calibri" w:cs="Calibri"/>
        </w:rPr>
        <w:t xml:space="preserve"> and any </w:t>
      </w:r>
      <w:hyperlink r:id="rId114">
        <w:r>
          <w:rPr>
            <w:rFonts w:ascii="Calibri" w:hAnsi="Calibri" w:eastAsia="Calibri" w:cs="Calibri"/>
            <w:color w:val="0051BA"/>
            <w:u w:val="single"/>
          </w:rPr>
          <w:t xml:space="preserve">staff To Dos</w:t>
        </w:r>
      </w:hyperlink>
      <w:r>
        <w:rPr>
          <w:rFonts w:ascii="Calibri" w:hAnsi="Calibri" w:eastAsia="Calibri" w:cs="Calibri"/>
        </w:rPr>
        <w:t xml:space="preserve"> added for the student. You can also see the student’s answers to the Intake Survey in the Onboarding Questions section.</w:t>
      </w:r>
    </w:p>
    <w:p>
      <w:pPr>
        <w:spacing w:after="140"/>
      </w:pPr>
      <w:r>
        <w:rPr>
          <w:rFonts w:ascii="Calibri" w:hAnsi="Calibri" w:eastAsia="Calibri" w:cs="Calibri"/>
        </w:rPr>
        <w:t xml:space="preserve">Use this tab to check what tasks the student should be finishing and how far along they are. If a student needs extra help working through their list, this is a good place to start coaching.</w:t>
      </w:r>
    </w:p>
    <w:p>
      <w:pPr>
        <w:spacing w:after="140"/>
      </w:pPr>
      <w:r>
        <w:rPr>
          <w:rFonts w:ascii="Calibri" w:hAnsi="Calibri" w:eastAsia="Calibri" w:cs="Calibri"/>
        </w:rPr>
        <w:t xml:space="preserve">If the student has not answered any Onboarding Questions, they may not have downloaded or opened Navigate360 Student yet. That is a great chance to point them to the app. When students have answered, their responses can show areas where they want support, resources they asked for, or concerns you can talk through together.</w:t>
      </w:r>
    </w:p>
    <w:tbl>
      <w:tblPr>
        <w:tblW w:w="10080" w:type="dxa"/>
        <w:tblBorders>
          <w:top w:val="single" w:color="F7D9BC" w:sz="4"/>
          <w:left w:val="single" w:color="FF8200" w:sz="30"/>
          <w:bottom w:val="single" w:color="F7D9BC" w:sz="4"/>
          <w:right w:val="single" w:color="F7D9BC" w:sz="4"/>
          <w:insideH w:val="none"/>
          <w:insideV w:val="none"/>
        </w:tblBorders>
      </w:tblPr>
      <w:tblGrid>
        <w:gridCol w:w="10080"/>
      </w:tblGrid>
      <w:tr>
        <w:tc>
          <w:tcPr>
            <w:tcW w:w="10080" w:type="dxa"/>
            <w:shd w:val="clear" w:fill="FDF1E5"/>
            <w:tcMar>
              <w:top w:w="100" w:type="dxa"/>
              <w:left w:w="160" w:type="dxa"/>
              <w:bottom w:w="100" w:type="dxa"/>
              <w:right w:w="160" w:type="dxa"/>
            </w:tcMar>
          </w:tcPr>
          <w:p>
            <w:pPr>
              <w:spacing w:after="0"/>
            </w:pPr>
            <w:r>
              <w:rPr>
                <w:rFonts w:ascii="Calibri" w:hAnsi="Calibri" w:eastAsia="Calibri" w:cs="Calibri"/>
                <w:b/>
                <w:bCs/>
              </w:rPr>
              <w:t xml:space="preserve">Note:</w:t>
            </w:r>
            <w:r>
              <w:rPr>
                <w:rFonts w:ascii="Calibri" w:hAnsi="Calibri" w:eastAsia="Calibri" w:cs="Calibri"/>
              </w:rPr>
              <w:t xml:space="preserve"> </w:t>
            </w:r>
            <w:r>
              <w:rPr>
                <w:rFonts w:ascii="Calibri" w:hAnsi="Calibri" w:eastAsia="Calibri" w:cs="Calibri"/>
              </w:rPr>
              <w:t xml:space="preserve">This tab only has information if the student uses Navigate360 Student. Some students have access to the app but do not use it much, so the tab may be empty or out of date.</w:t>
            </w:r>
          </w:p>
        </w:tc>
      </w:tr>
    </w:tbl>
    <w:p>
      <w:pPr>
        <w:spacing w:after="120"/>
      </w:pPr>
    </w:p>
    <w:p>
      <w:pPr>
        <w:keepNext/>
        <w:spacing w:before="80" w:after="140"/>
      </w:pPr>
      <w:r>
        <w:rPr>
          <w:rFonts w:ascii="Calibri" w:hAnsi="Calibri" w:eastAsia="Calibri" w:cs="Calibri"/>
          <w:b/>
          <w:bCs/>
        </w:rPr>
        <w:t xml:space="preserve">Questions to consider:</w:t>
      </w:r>
    </w:p>
    <w:p>
      <w:pPr>
        <w:pStyle w:val="ListParagraph"/>
        <w:numPr>
          <w:ilvl w:val="0"/>
          <w:numId w:val="2"/>
        </w:numPr>
        <w:spacing w:after="70"/>
      </w:pPr>
      <w:r>
        <w:rPr>
          <w:rFonts w:ascii="Calibri" w:hAnsi="Calibri" w:eastAsia="Calibri" w:cs="Calibri"/>
        </w:rPr>
        <w:t xml:space="preserve">Does the student have any important To Dos coming up that you can help them prepare for?</w:t>
      </w:r>
    </w:p>
    <w:p>
      <w:pPr>
        <w:pStyle w:val="ListParagraph"/>
        <w:numPr>
          <w:ilvl w:val="0"/>
          <w:numId w:val="2"/>
        </w:numPr>
        <w:spacing w:after="70"/>
      </w:pPr>
      <w:r>
        <w:rPr>
          <w:rFonts w:ascii="Calibri" w:hAnsi="Calibri" w:eastAsia="Calibri" w:cs="Calibri"/>
        </w:rPr>
        <w:t xml:space="preserve">Does the student have any overdue To Dos you can address together?</w:t>
      </w:r>
    </w:p>
    <w:p>
      <w:pPr>
        <w:pStyle w:val="ListParagraph"/>
        <w:numPr>
          <w:ilvl w:val="0"/>
          <w:numId w:val="2"/>
        </w:numPr>
        <w:spacing w:after="70"/>
      </w:pPr>
      <w:r>
        <w:rPr>
          <w:rFonts w:ascii="Calibri" w:hAnsi="Calibri" w:eastAsia="Calibri" w:cs="Calibri"/>
        </w:rPr>
        <w:t xml:space="preserve">Did the student share anything in the Intake Survey that you should talk about?</w:t>
      </w:r>
    </w:p>
    <w:p>
      <w:pPr>
        <w:keepNext/>
        <w:spacing w:before="300" w:after="90"/>
      </w:pPr>
      <w:r>
        <w:rPr>
          <w:rFonts w:ascii="Calibri" w:hAnsi="Calibri" w:eastAsia="Calibri" w:cs="Calibri"/>
          <w:b/>
          <w:bCs/>
          <w:color w:val="0051BA"/>
          <w:sz w:val="28"/>
          <w:szCs w:val="28"/>
        </w:rPr>
        <w:t xml:space="preserve">Academic Plan Tab</w:t>
      </w:r>
    </w:p>
    <w:p>
      <w:pPr>
        <w:spacing w:after="140"/>
      </w:pPr>
      <w:r>
        <w:rPr>
          <w:rFonts w:ascii="Calibri" w:hAnsi="Calibri" w:eastAsia="Calibri" w:cs="Calibri"/>
        </w:rPr>
        <w:t xml:space="preserve">Use the </w:t>
      </w:r>
      <w:hyperlink r:id="rId115">
        <w:r>
          <w:rPr>
            <w:rFonts w:ascii="Calibri" w:hAnsi="Calibri" w:eastAsia="Calibri" w:cs="Calibri"/>
            <w:color w:val="0051BA"/>
            <w:u w:val="single"/>
          </w:rPr>
          <w:t xml:space="preserve">Academic Plan tab</w:t>
        </w:r>
      </w:hyperlink>
      <w:r>
        <w:rPr>
          <w:rFonts w:ascii="Calibri" w:hAnsi="Calibri" w:eastAsia="Calibri" w:cs="Calibri"/>
        </w:rPr>
        <w:t xml:space="preserve"> to review the courses a student plans to take this term and in upcoming terms. Checking the plan helps you make sure the student’s choices make sense. You can also make edits or suggest a schedule for them. This tab has more features than most, so visit the link above to learn more.</w:t>
      </w:r>
    </w:p>
    <w:p>
      <w:pPr>
        <w:keepNext/>
        <w:spacing w:before="80" w:after="140"/>
      </w:pPr>
      <w:r>
        <w:rPr>
          <w:rFonts w:ascii="Calibri" w:hAnsi="Calibri" w:eastAsia="Calibri" w:cs="Calibri"/>
          <w:b/>
          <w:bCs/>
        </w:rPr>
        <w:t xml:space="preserve">Questions to consider:</w:t>
      </w:r>
    </w:p>
    <w:p>
      <w:pPr>
        <w:pStyle w:val="ListParagraph"/>
        <w:numPr>
          <w:ilvl w:val="0"/>
          <w:numId w:val="2"/>
        </w:numPr>
        <w:spacing w:after="70"/>
      </w:pPr>
      <w:r>
        <w:rPr>
          <w:rFonts w:ascii="Calibri" w:hAnsi="Calibri" w:eastAsia="Calibri" w:cs="Calibri"/>
        </w:rPr>
        <w:t xml:space="preserve">Has the student already planned their courses for next term?</w:t>
      </w:r>
    </w:p>
    <w:p>
      <w:pPr>
        <w:pStyle w:val="ListParagraph"/>
        <w:numPr>
          <w:ilvl w:val="0"/>
          <w:numId w:val="2"/>
        </w:numPr>
        <w:spacing w:after="70"/>
      </w:pPr>
      <w:r>
        <w:rPr>
          <w:rFonts w:ascii="Calibri" w:hAnsi="Calibri" w:eastAsia="Calibri" w:cs="Calibri"/>
        </w:rPr>
        <w:t xml:space="preserve">Are there any changes you would suggest to help the student make the most of their course load?</w:t>
      </w:r>
    </w:p>
    <w:p>
      <w:pPr>
        <w:pStyle w:val="ListParagraph"/>
        <w:numPr>
          <w:ilvl w:val="0"/>
          <w:numId w:val="2"/>
        </w:numPr>
        <w:spacing w:after="70"/>
      </w:pPr>
      <w:r>
        <w:rPr>
          <w:rFonts w:ascii="Calibri" w:hAnsi="Calibri" w:eastAsia="Calibri" w:cs="Calibri"/>
        </w:rPr>
        <w:t xml:space="preserve">How might the planned schedule affect how long it takes the student to finish their degree?</w:t>
      </w:r>
    </w:p>
    <w:p>
      <w:pPr>
        <w:keepNext/>
        <w:spacing w:before="300" w:after="90"/>
      </w:pPr>
      <w:r>
        <w:rPr>
          <w:rFonts w:ascii="Calibri" w:hAnsi="Calibri" w:eastAsia="Calibri" w:cs="Calibri"/>
          <w:b/>
          <w:bCs/>
          <w:color w:val="0051BA"/>
          <w:sz w:val="28"/>
          <w:szCs w:val="28"/>
        </w:rPr>
        <w:t xml:space="preserve">Major Explorer Tab</w:t>
      </w:r>
    </w:p>
    <w:p>
      <w:pPr>
        <w:spacing w:after="140"/>
      </w:pPr>
      <w:r>
        <w:rPr>
          <w:rFonts w:ascii="Calibri" w:hAnsi="Calibri" w:eastAsia="Calibri" w:cs="Calibri"/>
        </w:rPr>
        <w:t xml:space="preserve">The </w:t>
      </w:r>
      <w:hyperlink r:id="rId116">
        <w:r>
          <w:rPr>
            <w:rFonts w:ascii="Calibri" w:hAnsi="Calibri" w:eastAsia="Calibri" w:cs="Calibri"/>
            <w:color w:val="0051BA"/>
            <w:u w:val="single"/>
          </w:rPr>
          <w:t xml:space="preserve">Major Explorer</w:t>
        </w:r>
      </w:hyperlink>
      <w:r>
        <w:rPr>
          <w:rFonts w:ascii="Calibri" w:hAnsi="Calibri" w:eastAsia="Calibri" w:cs="Calibri"/>
        </w:rPr>
        <w:t xml:space="preserve"> lets you see how a student’s Predicted Support Level might change if they switched to a different major. You can also view career information for each major. This career information comes from O*NET, a trusted career data source.</w:t>
      </w:r>
    </w:p>
    <w:p>
      <w:pPr>
        <w:keepNext/>
        <w:spacing w:before="80" w:after="140"/>
      </w:pPr>
      <w:r>
        <w:rPr>
          <w:rFonts w:ascii="Calibri" w:hAnsi="Calibri" w:eastAsia="Calibri" w:cs="Calibri"/>
          <w:b/>
          <w:bCs/>
        </w:rPr>
        <w:t xml:space="preserve">Questions to consider:</w:t>
      </w:r>
    </w:p>
    <w:p>
      <w:pPr>
        <w:pStyle w:val="ListParagraph"/>
        <w:numPr>
          <w:ilvl w:val="0"/>
          <w:numId w:val="2"/>
        </w:numPr>
        <w:spacing w:after="70"/>
      </w:pPr>
      <w:r>
        <w:rPr>
          <w:rFonts w:ascii="Calibri" w:hAnsi="Calibri" w:eastAsia="Calibri" w:cs="Calibri"/>
        </w:rPr>
        <w:t xml:space="preserve">If the student is struggling in their current major, are there other programs that might be a better fit?</w:t>
      </w:r>
    </w:p>
    <w:p>
      <w:pPr>
        <w:pStyle w:val="ListParagraph"/>
        <w:numPr>
          <w:ilvl w:val="0"/>
          <w:numId w:val="2"/>
        </w:numPr>
        <w:spacing w:after="70"/>
      </w:pPr>
      <w:r>
        <w:rPr>
          <w:rFonts w:ascii="Calibri" w:hAnsi="Calibri" w:eastAsia="Calibri" w:cs="Calibri"/>
        </w:rPr>
        <w:t xml:space="preserve">If the student has a specific career in mind, which programs would best support that goal?</w:t>
      </w:r>
    </w:p>
    <w:p>
      <w:pPr>
        <w:keepNext/>
        <w:spacing w:before="300" w:after="90"/>
      </w:pPr>
      <w:r>
        <w:rPr>
          <w:rFonts w:ascii="Calibri" w:hAnsi="Calibri" w:eastAsia="Calibri" w:cs="Calibri"/>
          <w:b/>
          <w:bCs/>
          <w:color w:val="0051BA"/>
          <w:sz w:val="28"/>
          <w:szCs w:val="28"/>
        </w:rPr>
        <w:t xml:space="preserve">Learn More</w:t>
      </w:r>
    </w:p>
    <w:p>
      <w:pPr>
        <w:spacing w:after="140"/>
      </w:pPr>
      <w:r>
        <w:rPr>
          <w:rFonts w:ascii="Calibri" w:hAnsi="Calibri" w:eastAsia="Calibri" w:cs="Calibri"/>
        </w:rPr>
        <w:t xml:space="preserve">For more detail, visit the EAB Help Center article </w:t>
      </w:r>
      <w:hyperlink r:id="rId117">
        <w:r>
          <w:rPr>
            <w:rFonts w:ascii="Calibri" w:hAnsi="Calibri" w:eastAsia="Calibri" w:cs="Calibri"/>
            <w:color w:val="0051BA"/>
            <w:u w:val="single"/>
          </w:rPr>
          <w:t xml:space="preserve">Using Student Profiles to Prepare for Student Meetings in Student Success</w:t>
        </w:r>
      </w:hyperlink>
      <w:r>
        <w:rPr>
          <w:rFonts w:ascii="Calibri" w:hAnsi="Calibri" w:eastAsia="Calibri" w:cs="Calibri"/>
        </w:rPr>
        <w:t xml:space="preserve">.</w:t>
      </w:r>
    </w:p>
    <w:tbl>
      <w:tblPr>
        <w:tblW w:w="10080" w:type="dxa"/>
        <w:tblBorders>
          <w:top w:val="single" w:color="F7D9BC" w:sz="4"/>
          <w:left w:val="single" w:color="FF8200" w:sz="30"/>
          <w:bottom w:val="single" w:color="F7D9BC" w:sz="4"/>
          <w:right w:val="single" w:color="F7D9BC" w:sz="4"/>
          <w:insideH w:val="none"/>
          <w:insideV w:val="none"/>
        </w:tblBorders>
      </w:tblPr>
      <w:tblGrid>
        <w:gridCol w:w="10080"/>
      </w:tblGrid>
      <w:tr>
        <w:tc>
          <w:tcPr>
            <w:tcW w:w="10080" w:type="dxa"/>
            <w:shd w:val="clear" w:fill="FDF1E5"/>
            <w:tcMar>
              <w:top w:w="100" w:type="dxa"/>
              <w:left w:w="160" w:type="dxa"/>
              <w:bottom w:w="100" w:type="dxa"/>
              <w:right w:w="160" w:type="dxa"/>
            </w:tcMar>
          </w:tcPr>
          <w:p>
            <w:pPr>
              <w:spacing w:after="0"/>
            </w:pPr>
            <w:r>
              <w:rPr>
                <w:rFonts w:ascii="Calibri" w:hAnsi="Calibri" w:eastAsia="Calibri" w:cs="Calibri"/>
                <w:b/>
                <w:bCs/>
              </w:rPr>
              <w:t xml:space="preserve">Note:</w:t>
            </w:r>
            <w:r>
              <w:rPr>
                <w:rFonts w:ascii="Calibri" w:hAnsi="Calibri" w:eastAsia="Calibri" w:cs="Calibri"/>
              </w:rPr>
              <w:t xml:space="preserve"> </w:t>
            </w:r>
            <w:r>
              <w:rPr>
                <w:rFonts w:ascii="Calibri" w:hAnsi="Calibri" w:eastAsia="Calibri" w:cs="Calibri"/>
              </w:rPr>
              <w:t xml:space="preserve">Some tabs may not be available to you. What you can see and use depends on your user role. Check with your care unit lead if you have questions.</w:t>
            </w:r>
          </w:p>
        </w:tc>
      </w:tr>
    </w:tbl>
    <w:p>
      <w:pPr>
        <w:spacing w:after="120"/>
      </w:pPr>
    </w:p>
    <w:sectPr>
      <w:footerReference w:type="default" r:id="rId7"/>
      <w:pgSz w:w="12240" w:h="15840" w:orient="portrait"/>
      <w:pgMar w:top="1080" w:right="1080" w:bottom="1080" w:left="108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14:paraId="0E5D2A0C" wp14:textId="77777777">
    <w:pPr>
      <w:pBdr>
        <w:top w:val="single" w:color="F7D9BC" w:sz="4" w:space="6"/>
      </w:pBdr>
      <w:tabs>
        <w:tab w:val="right" w:pos="10080"/>
      </w:tabs>
      <w:spacing w:before="60"/>
    </w:pPr>
    <w:r>
      <w:rPr>
        <w:rFonts w:ascii="Calibri" w:hAnsi="Calibri" w:eastAsia="Calibri" w:cs="Calibri"/>
        <w:color w:val="595959"/>
        <w:sz w:val="16"/>
        <w:szCs w:val="16"/>
      </w:rPr>
      <w:t xml:space="preserve">South Puget Sound Community College   •   Navigate360</w:t>
    </w:r>
    <w:r>
      <w:rPr>
        <w:rFonts w:ascii="Calibri" w:hAnsi="Calibri" w:eastAsia="Calibri" w:cs="Calibri"/>
      </w:rPr>
      <w:t xml:space="preserve">	</w:t>
    </w:r>
    <w:r>
      <w:rPr>
        <w:rFonts w:ascii="Calibri" w:hAnsi="Calibri" w:eastAsia="Calibri" w:cs="Calibri"/>
        <w:color w:val="595959"/>
        <w:sz w:val="16"/>
        <w:szCs w:val="16"/>
      </w:rPr>
      <w:t xml:space="preserve">Page </w:t>
    </w:r>
    <w:r>
      <w:rPr>
        <w:rFonts w:ascii="Calibri" w:hAnsi="Calibri" w:eastAsia="Calibri" w:cs="Calibri"/>
        <w:color w:val="595959"/>
        <w:sz w:val="16"/>
        <w:szCs w:val="16"/>
      </w:rPr>
      <w:fldChar w:fldCharType="begin"/>
    </w:r>
    <w:r>
      <w:rPr>
        <w:rFonts w:ascii="Calibri" w:hAnsi="Calibri" w:eastAsia="Calibri" w:cs="Calibri"/>
        <w:color w:val="595959"/>
        <w:sz w:val="16"/>
        <w:szCs w:val="16"/>
      </w:rPr>
      <w:instrText xml:space="preserve">PAGE</w:instrText>
    </w:r>
    <w:r>
      <w:rPr>
        <w:rFonts w:ascii="Calibri" w:hAnsi="Calibri" w:eastAsia="Calibri" w:cs="Calibri"/>
        <w:color w:val="595959"/>
        <w:sz w:val="16"/>
        <w:szCs w:val="16"/>
      </w:rPr>
      <w:fldChar w:fldCharType="separate"/>
    </w:r>
    <w:r>
      <w:rPr>
        <w:rFonts w:ascii="Calibri" w:hAnsi="Calibri" w:eastAsia="Calibri" w:cs="Calibri"/>
        <w:color w:val="595959"/>
        <w:sz w:val="16"/>
        <w:szCs w:val="16"/>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1c37f6e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8b4e28f"/>
    <w:multiLevelType w:val="hybridMultilevel"/>
    <w:lvl w:ilvl="0" w15:tentative="1">
      <w:start w:val="1"/>
      <w:numFmt w:val="bullet"/>
      <w:lvlText w:val="•"/>
      <w:lvlJc w:val="start"/>
      <w:pPr>
        <w:ind w:left="460" w:hanging="260"/>
      </w:pPr>
    </w:lvl>
    <w:lvl w:ilvl="1" w15:tentative="1">
      <w:start w:val="1"/>
      <w:numFmt w:val="bullet"/>
      <w:lvlText w:val="◦"/>
      <w:lvlJc w:val="start"/>
      <w:pPr>
        <w:ind w:left="900" w:hanging="2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1FF55F1D"/>
  <w15:docId w15:val="{3253E170-A2F5-4475-BE05-5BA996F95BCA}"/>
  <w:rsids>
    <w:rsidRoot w:val="503C5D6D"/>
    <w:rsid w:val="503C5D6D"/>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13" /><Relationship Type="http://schemas.openxmlformats.org/officeDocument/2006/relationships/hyperlink" Target="https://helpcenter.eab.com/hc/en-us/articles/360014186533" Id="rId100" TargetMode="External" /><Relationship Type="http://schemas.openxmlformats.org/officeDocument/2006/relationships/hyperlink" Target="https://helpcenter.eab.com/hc/en-us/articles/360014057494" Id="rId101" TargetMode="External" /><Relationship Type="http://schemas.openxmlformats.org/officeDocument/2006/relationships/hyperlink" Target="https://helpcenter.eab.com/hc/en-us/articles/360014218673" Id="rId102" TargetMode="External" /><Relationship Type="http://schemas.openxmlformats.org/officeDocument/2006/relationships/hyperlink" Target="https://helpcenter.eab.com/hc/en-us/articles/360014082354" Id="rId103" TargetMode="External" /><Relationship Type="http://schemas.openxmlformats.org/officeDocument/2006/relationships/hyperlink" Target="https://helpcenter.eab.com/hc/en-us/articles/360014160393" Id="rId104" TargetMode="External" /><Relationship Type="http://schemas.openxmlformats.org/officeDocument/2006/relationships/hyperlink" Target="https://helpcenter.eab.com/hc/en-us/articles/360014074874" Id="rId105" TargetMode="External" /><Relationship Type="http://schemas.openxmlformats.org/officeDocument/2006/relationships/hyperlink" Target="https://helpcenter.eab.com/hc/en-us/articles/360014178053" Id="rId106" TargetMode="External" /><Relationship Type="http://schemas.openxmlformats.org/officeDocument/2006/relationships/hyperlink" Target="https://helpcenter.eab.com/hc/en-us/articles/360014177373" Id="rId107" TargetMode="External" /><Relationship Type="http://schemas.openxmlformats.org/officeDocument/2006/relationships/hyperlink" Target="https://helpcenter.eab.com/hc/en-us/articles/360014186553" Id="rId108" TargetMode="External" /><Relationship Type="http://schemas.openxmlformats.org/officeDocument/2006/relationships/hyperlink" Target="https://helpcenter.eab.com/hc/en-us/articles/360014083914" Id="rId109" TargetMode="External" /><Relationship Type="http://schemas.openxmlformats.org/officeDocument/2006/relationships/hyperlink" Target="https://helpcenter.eab.com/hc/en-us/articles/360014178813" Id="rId110" TargetMode="External" /><Relationship Type="http://schemas.openxmlformats.org/officeDocument/2006/relationships/hyperlink" Target="https://helpcenter.eab.com/hc/en-us/articles/360011460434" Id="rId111" TargetMode="External" /><Relationship Type="http://schemas.openxmlformats.org/officeDocument/2006/relationships/hyperlink" Target="https://helpcenter.eab.com/hc/en-us/articles/25472941494935" Id="rId112" TargetMode="External" /><Relationship Type="http://schemas.openxmlformats.org/officeDocument/2006/relationships/hyperlink" Target="https://helpcenter.eab.com/hc/en-us/articles/4410496145175" Id="rId113" TargetMode="External" /><Relationship Type="http://schemas.openxmlformats.org/officeDocument/2006/relationships/hyperlink" Target="https://helpcenter.eab.com/hc/en-us/articles/360014186553" Id="rId114" TargetMode="External" /><Relationship Type="http://schemas.openxmlformats.org/officeDocument/2006/relationships/hyperlink" Target="https://helpcenter.eab.com/hc/en-us/articles/360014185933" Id="rId115" TargetMode="External" /><Relationship Type="http://schemas.openxmlformats.org/officeDocument/2006/relationships/hyperlink" Target="https://helpcenter.eab.com/hc/en-us/articles/360014188773" Id="rId116" TargetMode="External" /><Relationship Type="http://schemas.openxmlformats.org/officeDocument/2006/relationships/hyperlink" Target="https://helpcenter.eab.com/hc/en-us/articles/360014512634-Using-Student-Profiles-to-Prepare-for-Student-Meetings-in-Student-Success" Id="rId117" TargetMode="External"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Using the Student Profile to Prepare for Student Meetings</dc:title>
  <dc:creator>Un-named</dc:creator>
  <lastModifiedBy>Vesta Loomis</lastModifiedBy>
  <revision>2</revision>
  <dcterms:created xsi:type="dcterms:W3CDTF">2026-07-30T17:21:19.6480000Z</dcterms:created>
  <dcterms:modified xsi:type="dcterms:W3CDTF">2026-10-08T18:51:12.7598053Z</dcterms:modified>
</coreProperties>
</file>

<file path=docProps/custom.xml><?xml version="1.0" encoding="utf-8"?>
<Properties xmlns="http://schemas.openxmlformats.org/officeDocument/2006/custom-properties" xmlns:vt="http://schemas.openxmlformats.org/officeDocument/2006/docPropsVTypes"/>
</file>